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25"/>
        <w:jc w:val="center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</w:r>
      <w:r>
        <w:rPr>
          <w:rFonts w:ascii="Times New Roman" w:hAnsi="Times New Roman"/>
          <w:b w:val="0"/>
          <w:sz w:val="28"/>
          <w:szCs w:val="28"/>
        </w:rPr>
      </w:r>
    </w:p>
    <w:p>
      <w:pPr>
        <w:pStyle w:val="725"/>
        <w:jc w:val="center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</w:r>
      <w:r>
        <w:rPr>
          <w:rFonts w:ascii="Times New Roman" w:hAnsi="Times New Roman"/>
          <w:b w:val="0"/>
          <w:sz w:val="28"/>
          <w:szCs w:val="28"/>
        </w:rPr>
      </w:r>
    </w:p>
    <w:p>
      <w:pPr>
        <w:pStyle w:val="725"/>
        <w:jc w:val="center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</w:r>
      <w:r>
        <w:rPr>
          <w:rFonts w:ascii="Times New Roman" w:hAnsi="Times New Roman"/>
          <w:b w:val="0"/>
          <w:sz w:val="28"/>
          <w:szCs w:val="28"/>
        </w:rPr>
      </w:r>
    </w:p>
    <w:p>
      <w:pPr>
        <w:pStyle w:val="725"/>
        <w:jc w:val="center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</w:r>
      <w:r>
        <w:rPr>
          <w:rFonts w:ascii="Times New Roman" w:hAnsi="Times New Roman"/>
          <w:b w:val="0"/>
          <w:sz w:val="28"/>
          <w:szCs w:val="28"/>
        </w:rPr>
      </w:r>
    </w:p>
    <w:p>
      <w:pPr>
        <w:pStyle w:val="725"/>
        <w:jc w:val="center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</w:r>
      <w:r>
        <w:rPr>
          <w:rFonts w:ascii="Times New Roman" w:hAnsi="Times New Roman"/>
          <w:b w:val="0"/>
          <w:sz w:val="28"/>
          <w:szCs w:val="28"/>
        </w:rPr>
      </w:r>
    </w:p>
    <w:p>
      <w:pPr>
        <w:pStyle w:val="725"/>
        <w:jc w:val="center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Актуальная</w:t>
      </w:r>
      <w:r>
        <w:rPr>
          <w:rFonts w:ascii="Times New Roman" w:hAnsi="Times New Roman"/>
          <w:b w:val="0"/>
          <w:sz w:val="28"/>
          <w:szCs w:val="28"/>
        </w:rPr>
      </w:r>
    </w:p>
    <w:p>
      <w:pPr>
        <w:pStyle w:val="725"/>
        <w:jc w:val="center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версия муниципальной программы</w:t>
      </w:r>
      <w:r>
        <w:rPr>
          <w:rFonts w:ascii="Times New Roman" w:hAnsi="Times New Roman"/>
          <w:b w:val="0"/>
          <w:sz w:val="28"/>
          <w:szCs w:val="28"/>
        </w:rPr>
      </w:r>
    </w:p>
    <w:p>
      <w:pPr>
        <w:jc w:val="center"/>
      </w:pPr>
      <w:r/>
      <w:r/>
    </w:p>
    <w:p>
      <w:pPr>
        <w:jc w:val="center"/>
      </w:pPr>
      <w:r/>
      <w:r/>
    </w:p>
    <w:p>
      <w:pPr>
        <w:pStyle w:val="725"/>
        <w:jc w:val="center"/>
        <w:spacing w:before="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725"/>
        <w:jc w:val="center"/>
        <w:spacing w:before="0" w:after="0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Развитие коммунальной и инженерной инфраструктуры и повышение энергетической эффективности во Всеволожском муниципальном районе</w:t>
      </w:r>
      <w:r>
        <w:rPr>
          <w:rFonts w:ascii="Times New Roman" w:hAnsi="Times New Roman"/>
          <w:spacing w:val="-6"/>
          <w:sz w:val="28"/>
          <w:szCs w:val="28"/>
        </w:rPr>
      </w:r>
    </w:p>
    <w:p>
      <w:r/>
      <w:r/>
    </w:p>
    <w:p>
      <w:r/>
      <w:r/>
    </w:p>
    <w:p>
      <w:pPr>
        <w:pStyle w:val="725"/>
        <w:jc w:val="center"/>
        <w:spacing w:before="0" w:after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Утверждена:</w:t>
      </w:r>
      <w:r>
        <w:rPr>
          <w:rFonts w:ascii="Times New Roman" w:hAnsi="Times New Roman"/>
          <w:b w:val="0"/>
          <w:sz w:val="26"/>
          <w:szCs w:val="26"/>
        </w:rPr>
      </w:r>
    </w:p>
    <w:p>
      <w:pPr>
        <w:pStyle w:val="725"/>
        <w:jc w:val="center"/>
        <w:rPr>
          <w:rFonts w:ascii="Times New Roman" w:hAnsi="Times New Roman"/>
          <w:b w:val="0"/>
          <w:sz w:val="26"/>
          <w:szCs w:val="26"/>
          <w:lang w:val="ru-RU"/>
        </w:rPr>
      </w:pPr>
      <w:r>
        <w:rPr>
          <w:rFonts w:ascii="Times New Roman" w:hAnsi="Times New Roman"/>
          <w:b w:val="0"/>
          <w:sz w:val="26"/>
          <w:szCs w:val="26"/>
        </w:rPr>
        <w:t xml:space="preserve">постановление администрации Всеволожского муниципального района                  </w:t>
      </w:r>
      <w:r>
        <w:rPr>
          <w:rFonts w:ascii="Times New Roman" w:hAnsi="Times New Roman"/>
          <w:b w:val="0"/>
          <w:sz w:val="26"/>
          <w:szCs w:val="26"/>
        </w:rPr>
        <w:t xml:space="preserve">            от 25.</w:t>
      </w:r>
      <w:r>
        <w:rPr>
          <w:rFonts w:ascii="Times New Roman" w:hAnsi="Times New Roman"/>
          <w:b w:val="0"/>
          <w:sz w:val="26"/>
          <w:szCs w:val="26"/>
          <w:lang w:val="ru-RU"/>
        </w:rPr>
        <w:t xml:space="preserve">12.20</w:t>
      </w:r>
      <w:r>
        <w:rPr>
          <w:rFonts w:ascii="Times New Roman" w:hAnsi="Times New Roman"/>
          <w:b w:val="0"/>
          <w:sz w:val="26"/>
          <w:szCs w:val="26"/>
        </w:rPr>
        <w:t xml:space="preserve">23 № 5207</w:t>
      </w:r>
      <w:r>
        <w:rPr>
          <w:rFonts w:ascii="Times New Roman" w:hAnsi="Times New Roman"/>
          <w:b w:val="0"/>
          <w:sz w:val="26"/>
          <w:szCs w:val="26"/>
        </w:rPr>
        <w:t xml:space="preserve">.</w:t>
      </w:r>
      <w:r>
        <w:rPr>
          <w:rFonts w:ascii="Times New Roman" w:hAnsi="Times New Roman"/>
          <w:b w:val="0"/>
          <w:sz w:val="26"/>
          <w:szCs w:val="26"/>
          <w:lang w:val="ru-RU"/>
        </w:rPr>
        <w:t xml:space="preserve"> (</w:t>
      </w:r>
      <w:r>
        <w:rPr>
          <w:rFonts w:ascii="Times New Roman" w:hAnsi="Times New Roman"/>
          <w:b w:val="0"/>
          <w:sz w:val="26"/>
          <w:szCs w:val="26"/>
          <w:lang w:val="ru-RU"/>
        </w:rPr>
        <w:t xml:space="preserve">в ред. постановлений: от 12.02.2025 № 395, от 06.03.2025 № 656, от 31.07.2025</w:t>
      </w:r>
      <w:r>
        <w:rPr>
          <w:rFonts w:ascii="Times New Roman" w:hAnsi="Times New Roman"/>
          <w:b w:val="0"/>
          <w:sz w:val="26"/>
          <w:szCs w:val="26"/>
          <w:lang w:val="ru-RU"/>
        </w:rPr>
        <w:t xml:space="preserve"> № 2793, от 10.11.2025 № 4068, </w:t>
      </w:r>
      <w:r>
        <w:rPr>
          <w:rFonts w:ascii="Times New Roman" w:hAnsi="Times New Roman"/>
          <w:b w:val="0"/>
          <w:sz w:val="26"/>
          <w:szCs w:val="26"/>
          <w:lang w:val="ru-RU"/>
        </w:rPr>
        <w:t xml:space="preserve">от 05.02.2026 № 319, </w:t>
      </w:r>
      <w:r>
        <w:rPr>
          <w:rFonts w:ascii="Times New Roman" w:hAnsi="Times New Roman"/>
          <w:b w:val="0"/>
          <w:sz w:val="26"/>
          <w:szCs w:val="26"/>
          <w:lang w:val="ru-RU"/>
        </w:rPr>
        <w:t xml:space="preserve">от 18.02.2026 № 545</w:t>
      </w:r>
      <w:r>
        <w:rPr>
          <w:rFonts w:ascii="Times New Roman" w:hAnsi="Times New Roman"/>
          <w:b w:val="0"/>
          <w:sz w:val="26"/>
          <w:szCs w:val="26"/>
          <w:lang w:val="ru-RU"/>
        </w:rPr>
        <w:t xml:space="preserve">, от 01.07.2026 №2394, 12.08.2026 №3029</w:t>
      </w:r>
      <w:bookmarkStart w:id="0" w:name="_GoBack"/>
      <w:r/>
      <w:bookmarkEnd w:id="0"/>
      <w:r>
        <w:rPr>
          <w:rFonts w:ascii="Times New Roman" w:hAnsi="Times New Roman"/>
          <w:b w:val="0"/>
          <w:sz w:val="26"/>
          <w:szCs w:val="26"/>
          <w:lang w:val="ru-RU"/>
        </w:rPr>
        <w:t xml:space="preserve">, 03.09.2026 №3309)</w:t>
      </w:r>
      <w:r>
        <w:rPr>
          <w:rFonts w:ascii="Times New Roman" w:hAnsi="Times New Roman"/>
          <w:b w:val="0"/>
          <w:sz w:val="26"/>
          <w:szCs w:val="26"/>
          <w:lang w:val="ru-RU"/>
        </w:rPr>
      </w:r>
    </w:p>
    <w:p>
      <w:pPr>
        <w:pStyle w:val="725"/>
        <w:jc w:val="center"/>
        <w:keepNext w:val="0"/>
        <w:pageBreakBefore/>
        <w:spacing w:before="0"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Паспорт</w:t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jc w:val="center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муниципальной программы </w:t>
      </w:r>
      <w:r>
        <w:rPr>
          <w:b/>
          <w:spacing w:val="-6"/>
          <w:sz w:val="28"/>
          <w:szCs w:val="28"/>
        </w:rPr>
        <w:t xml:space="preserve">Всеволожского муниципального района</w:t>
      </w:r>
      <w:r>
        <w:rPr>
          <w:b/>
          <w:spacing w:val="-6"/>
          <w:sz w:val="28"/>
          <w:szCs w:val="28"/>
        </w:rPr>
        <w:t xml:space="preserve"> Ленинградской области «</w:t>
      </w:r>
      <w:r>
        <w:rPr>
          <w:b/>
          <w:spacing w:val="-6"/>
          <w:sz w:val="28"/>
          <w:szCs w:val="28"/>
        </w:rPr>
        <w:t xml:space="preserve">Развитие</w:t>
      </w:r>
      <w:r>
        <w:rPr>
          <w:b/>
          <w:spacing w:val="-6"/>
          <w:sz w:val="28"/>
          <w:szCs w:val="28"/>
        </w:rPr>
        <w:t xml:space="preserve"> коммунальной и инженерной инфраструктуры </w:t>
      </w:r>
      <w:r>
        <w:rPr>
          <w:b/>
          <w:spacing w:val="-6"/>
          <w:sz w:val="28"/>
          <w:szCs w:val="28"/>
        </w:rPr>
        <w:t xml:space="preserve">и повышение энергетической эффективности</w:t>
      </w:r>
      <w:r>
        <w:rPr>
          <w:b/>
          <w:spacing w:val="-6"/>
          <w:sz w:val="28"/>
          <w:szCs w:val="28"/>
        </w:rPr>
        <w:t xml:space="preserve"> во Всеволожском муниципальном районе»</w:t>
      </w:r>
      <w:r>
        <w:rPr>
          <w:b/>
          <w:spacing w:val="-6"/>
          <w:sz w:val="28"/>
          <w:szCs w:val="28"/>
        </w:rPr>
      </w:r>
    </w:p>
    <w:p>
      <w:pPr>
        <w:jc w:val="center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</w:r>
      <w:r>
        <w:rPr>
          <w:b/>
          <w:spacing w:val="-6"/>
          <w:sz w:val="28"/>
          <w:szCs w:val="28"/>
        </w:rPr>
      </w:r>
    </w:p>
    <w:tbl>
      <w:tblPr>
        <w:tblW w:w="5000" w:type="pct"/>
        <w:tblBorders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422"/>
        <w:gridCol w:w="4923"/>
      </w:tblGrid>
      <w:tr>
        <w:tblPrEx/>
        <w:trPr/>
        <w:tc>
          <w:tcPr>
            <w:tcBorders>
              <w:top w:val="single" w:color="auto" w:sz="4" w:space="0"/>
            </w:tcBorders>
            <w:tcW w:w="2366" w:type="pct"/>
            <w:textDirection w:val="lrTb"/>
            <w:noWrap w:val="false"/>
          </w:tcPr>
          <w:p>
            <w:pPr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Сроки реализации муниципальной программы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2634" w:type="pct"/>
            <w:textDirection w:val="lrTb"/>
            <w:noWrap w:val="false"/>
          </w:tcPr>
          <w:p>
            <w:pPr>
              <w:jc w:val="center"/>
              <w:widowControl w:val="off"/>
              <w:rPr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2024</w:t>
            </w:r>
            <w:r>
              <w:rPr>
                <w:spacing w:val="-6"/>
                <w:sz w:val="28"/>
                <w:szCs w:val="28"/>
              </w:rPr>
              <w:t xml:space="preserve">-202</w:t>
            </w:r>
            <w:r>
              <w:rPr>
                <w:spacing w:val="-6"/>
                <w:sz w:val="28"/>
                <w:szCs w:val="28"/>
              </w:rPr>
              <w:t xml:space="preserve">8</w:t>
            </w:r>
            <w:r>
              <w:rPr>
                <w:spacing w:val="-6"/>
                <w:sz w:val="28"/>
                <w:szCs w:val="28"/>
              </w:rPr>
              <w:t xml:space="preserve"> годы</w:t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2366" w:type="pct"/>
            <w:textDirection w:val="lrTb"/>
            <w:noWrap w:val="false"/>
          </w:tcPr>
          <w:p>
            <w:pPr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исполнитель муниципальной программы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2634" w:type="pct"/>
            <w:textDirection w:val="lrTb"/>
            <w:noWrap w:val="false"/>
          </w:tcPr>
          <w:p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Отдел развития коммунальной инфраструктуры и ценообразования Управления ЖКХ</w:t>
            </w:r>
            <w:r>
              <w:rPr>
                <w:sz w:val="28"/>
                <w:szCs w:val="28"/>
              </w:rPr>
              <w:t xml:space="preserve"> администрации</w:t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2366" w:type="pct"/>
            <w:textDirection w:val="lrTb"/>
            <w:noWrap w:val="false"/>
          </w:tcPr>
          <w:p>
            <w:pPr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Участники муниципальной программы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2634" w:type="pct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 xml:space="preserve">развития коммунальной инфраструктуры и ценообразования Управления ЖКХ администрации 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Муниципальное казенное учреждение «Единая служба заказчика» Всеволожского муниципального района Ленинградской области (далее – МКУ «ЕСЗ» ВМР ЛО)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2366" w:type="pct"/>
            <w:textDirection w:val="lrTb"/>
            <w:noWrap w:val="false"/>
          </w:tcPr>
          <w:p>
            <w:pPr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Цель муниципальной программы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2634" w:type="pct"/>
            <w:textDirection w:val="lrTb"/>
            <w:noWrap w:val="false"/>
          </w:tcPr>
          <w:p>
            <w:pPr>
              <w:ind w:right="-36"/>
              <w:jc w:val="both"/>
              <w:spacing w:line="280" w:lineRule="exact"/>
              <w:rPr>
                <w:szCs w:val="28"/>
              </w:rPr>
            </w:pPr>
            <w:r>
              <w:rPr>
                <w:spacing w:val="-12"/>
                <w:sz w:val="28"/>
                <w:szCs w:val="28"/>
              </w:rPr>
              <w:t xml:space="preserve">Максимально эффективное использование природных энергетических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 xml:space="preserve">ресурсов </w:t>
            </w:r>
            <w:r>
              <w:rPr>
                <w:spacing w:val="-4"/>
                <w:sz w:val="28"/>
                <w:szCs w:val="28"/>
              </w:rPr>
              <w:br/>
            </w:r>
            <w:r>
              <w:rPr>
                <w:spacing w:val="-4"/>
                <w:sz w:val="28"/>
                <w:szCs w:val="28"/>
              </w:rPr>
              <w:t xml:space="preserve">и потенциала энергетического сектора </w:t>
            </w:r>
            <w:r>
              <w:rPr>
                <w:spacing w:val="-4"/>
                <w:sz w:val="28"/>
                <w:szCs w:val="28"/>
              </w:rPr>
              <w:br/>
            </w:r>
            <w:r>
              <w:rPr>
                <w:spacing w:val="-4"/>
                <w:sz w:val="28"/>
                <w:szCs w:val="28"/>
              </w:rPr>
              <w:t xml:space="preserve">в целях устойчивого</w:t>
            </w:r>
            <w:r>
              <w:rPr>
                <w:sz w:val="28"/>
                <w:szCs w:val="28"/>
              </w:rPr>
              <w:t xml:space="preserve"> роста экономики Всеволожского муниципального района Ленинградской области</w:t>
            </w:r>
            <w:r>
              <w:rPr>
                <w:szCs w:val="28"/>
              </w:rPr>
            </w:r>
          </w:p>
        </w:tc>
      </w:tr>
      <w:tr>
        <w:tblPrEx/>
        <w:trPr>
          <w:trHeight w:val="3"/>
        </w:trPr>
        <w:tc>
          <w:tcPr>
            <w:tcBorders>
              <w:top w:val="single" w:color="auto" w:sz="4" w:space="0"/>
            </w:tcBorders>
            <w:tcW w:w="2366" w:type="pct"/>
            <w:textDirection w:val="lrTb"/>
            <w:noWrap w:val="false"/>
          </w:tcPr>
          <w:p>
            <w:pPr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Задачи муниципальной программы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2634" w:type="pct"/>
            <w:textDirection w:val="lrTb"/>
            <w:noWrap w:val="false"/>
          </w:tcPr>
          <w:p>
            <w:pPr>
              <w:jc w:val="both"/>
              <w:spacing w:line="28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Обеспечение контроля за потреблением ресурсов путем оснащения прибо</w:t>
            </w:r>
            <w:r>
              <w:rPr>
                <w:sz w:val="28"/>
                <w:szCs w:val="28"/>
              </w:rPr>
              <w:t xml:space="preserve">рами учета энергоресурсов.</w:t>
            </w:r>
            <w:r>
              <w:rPr>
                <w:szCs w:val="28"/>
              </w:rPr>
            </w:r>
          </w:p>
          <w:p>
            <w:pPr>
              <w:jc w:val="both"/>
              <w:spacing w:line="28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>
              <w:rPr>
                <w:sz w:val="28"/>
                <w:szCs w:val="28"/>
              </w:rPr>
              <w:t xml:space="preserve">Повышение уровня рационального использования топлива и энергии за счет широкого внедрения энергосберегающих техно</w:t>
            </w:r>
            <w:r>
              <w:rPr>
                <w:sz w:val="28"/>
                <w:szCs w:val="28"/>
              </w:rPr>
              <w:t xml:space="preserve">логий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и оборудования.</w:t>
            </w:r>
            <w:r>
              <w:rPr>
                <w:szCs w:val="28"/>
              </w:rPr>
            </w:r>
          </w:p>
          <w:p>
            <w:pPr>
              <w:ind w:left="-203" w:right="-204"/>
              <w:widowControl w:val="off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2366" w:type="pct"/>
            <w:textDirection w:val="lrTb"/>
            <w:noWrap w:val="false"/>
          </w:tcPr>
          <w:p>
            <w:pPr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Ожидаемые (конечные) результаты реализации муниципальной программы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2634" w:type="pct"/>
            <w:textDirection w:val="lrTb"/>
            <w:noWrap w:val="false"/>
          </w:tcPr>
          <w:p>
            <w:pPr>
              <w:jc w:val="both"/>
              <w:spacing w:line="28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Повышение доли энергоресурсов, расчеты за потребление которых, осуществляются на основании показаний приборов учета, в общем объ</w:t>
            </w:r>
            <w:r>
              <w:rPr>
                <w:sz w:val="28"/>
                <w:szCs w:val="28"/>
              </w:rPr>
              <w:t xml:space="preserve">еме потребляемых энергоресурсов;</w:t>
            </w:r>
            <w:r>
              <w:rPr>
                <w:szCs w:val="28"/>
              </w:rPr>
            </w:r>
          </w:p>
          <w:p>
            <w:pPr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Обеспечение поэтапного вывода из оборота энергетических устройств низкого класса энергоэффективности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и электрических ламп накаливания</w:t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2366" w:type="pct"/>
            <w:textDirection w:val="lrTb"/>
            <w:noWrap w:val="false"/>
          </w:tcPr>
          <w:p>
            <w:pPr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Проекты, реализуемые в рамках муниципальной программы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2634" w:type="pct"/>
            <w:textDirection w:val="lrTb"/>
            <w:noWrap w:val="false"/>
          </w:tcPr>
          <w:p>
            <w:pPr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проектов не предусмотрена</w:t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2366" w:type="pct"/>
            <w:textDirection w:val="lrTb"/>
            <w:noWrap w:val="false"/>
          </w:tcPr>
          <w:p>
            <w:pPr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муниципальной программы - всего, в том числе по годам реализации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2634" w:type="pct"/>
            <w:textDirection w:val="lrTb"/>
            <w:noWrap w:val="false"/>
          </w:tcPr>
          <w:p>
            <w:pPr>
              <w:ind w:hanging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объем финансирования программы составляет </w:t>
            </w:r>
            <w:r>
              <w:rPr>
                <w:sz w:val="28"/>
                <w:szCs w:val="28"/>
              </w:rPr>
              <w:t xml:space="preserve">99 909 670,00</w:t>
            </w:r>
            <w:r>
              <w:rPr>
                <w:sz w:val="28"/>
                <w:szCs w:val="28"/>
              </w:rPr>
              <w:t xml:space="preserve"> руб. за счет средств местного бюджета</w:t>
            </w:r>
            <w:r>
              <w:rPr>
                <w:sz w:val="28"/>
                <w:szCs w:val="28"/>
              </w:rPr>
            </w:r>
          </w:p>
          <w:p>
            <w:pPr>
              <w:ind w:hanging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- 2024 год – 17 921 450,00 руб.;</w:t>
            </w:r>
            <w:r>
              <w:rPr>
                <w:sz w:val="28"/>
                <w:szCs w:val="28"/>
              </w:rPr>
            </w:r>
          </w:p>
          <w:p>
            <w:pPr>
              <w:ind w:hanging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- 2025 год – </w:t>
            </w:r>
            <w:r>
              <w:rPr>
                <w:sz w:val="28"/>
                <w:szCs w:val="28"/>
              </w:rPr>
              <w:t xml:space="preserve">18 557 740,00</w:t>
            </w:r>
            <w:r>
              <w:rPr>
                <w:sz w:val="28"/>
                <w:szCs w:val="28"/>
              </w:rPr>
              <w:t xml:space="preserve"> руб.; </w:t>
            </w:r>
            <w:r>
              <w:rPr>
                <w:sz w:val="28"/>
                <w:szCs w:val="28"/>
              </w:rPr>
            </w:r>
          </w:p>
          <w:p>
            <w:pPr>
              <w:ind w:hanging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- 2026 год – 24</w:t>
            </w:r>
            <w:r>
              <w:rPr>
                <w:sz w:val="28"/>
                <w:szCs w:val="28"/>
              </w:rPr>
              <w:t xml:space="preserve"> 030 480,00</w:t>
            </w:r>
            <w:r>
              <w:rPr>
                <w:sz w:val="28"/>
                <w:szCs w:val="28"/>
              </w:rPr>
              <w:t xml:space="preserve"> руб.;</w:t>
            </w:r>
            <w:r>
              <w:rPr>
                <w:sz w:val="28"/>
                <w:szCs w:val="28"/>
              </w:rPr>
            </w:r>
          </w:p>
          <w:p>
            <w:pPr>
              <w:ind w:hanging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- 2027 год – </w:t>
            </w:r>
            <w:r>
              <w:rPr>
                <w:sz w:val="28"/>
                <w:szCs w:val="28"/>
              </w:rPr>
              <w:t xml:space="preserve">19 700 000,00</w:t>
            </w:r>
            <w:r>
              <w:rPr>
                <w:sz w:val="28"/>
                <w:szCs w:val="28"/>
              </w:rPr>
              <w:t xml:space="preserve"> руб.;</w:t>
            </w:r>
            <w:r>
              <w:rPr>
                <w:sz w:val="28"/>
                <w:szCs w:val="28"/>
              </w:rPr>
            </w:r>
          </w:p>
          <w:p>
            <w:pPr>
              <w:ind w:left="-108" w:firstLine="96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- 2028 год – </w:t>
            </w:r>
            <w:r>
              <w:rPr>
                <w:sz w:val="28"/>
                <w:szCs w:val="28"/>
              </w:rPr>
              <w:t xml:space="preserve">19 700 000,00</w:t>
            </w:r>
            <w:r>
              <w:rPr>
                <w:sz w:val="28"/>
                <w:szCs w:val="28"/>
              </w:rPr>
              <w:t xml:space="preserve"> руб.</w:t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2366" w:type="pct"/>
            <w:textDirection w:val="lrTb"/>
            <w:noWrap w:val="false"/>
          </w:tcPr>
          <w:p>
            <w:pPr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Размер налоговых расходов, направленных на достижение цели муниципальной программы, - всего, в том числе по годам реализации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2634" w:type="pct"/>
            <w:textDirection w:val="lrTb"/>
            <w:noWrap w:val="false"/>
          </w:tcPr>
          <w:p>
            <w:pPr>
              <w:jc w:val="center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налоговые расходы не предусмотрены</w:t>
            </w:r>
            <w:r>
              <w:rPr>
                <w:szCs w:val="28"/>
              </w:rPr>
            </w:r>
          </w:p>
        </w:tc>
      </w:tr>
    </w:tbl>
    <w:p>
      <w:pPr>
        <w:jc w:val="center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</w:r>
      <w:r>
        <w:rPr>
          <w:b/>
          <w:spacing w:val="-6"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5"/>
        <w:jc w:val="center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</w:r>
      <w:r>
        <w:rPr>
          <w:rFonts w:ascii="Times New Roman" w:hAnsi="Times New Roman"/>
          <w:b w:val="0"/>
          <w:sz w:val="28"/>
          <w:szCs w:val="28"/>
          <w:lang w:val="ru-RU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1. Общая характеристика, основные проблемы и прогноз развития сферы реализации муниципальной программы.</w:t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Вопросы повышения энергоэффективности и энергосбережения входят в пять стратегических направлений приоритетного технологического развития Росс</w:t>
      </w:r>
      <w:r>
        <w:rPr>
          <w:sz w:val="28"/>
          <w:szCs w:val="28"/>
        </w:rPr>
        <w:t xml:space="preserve">ийской Федерации, обозначенных Президентом Российской Федерации на заседании Комиссии по модернизации и технологическому развитию экономики России 18 июня 2009 года. Необходимость утверждения программы определена Федеральным законом от 23 ноября 2009 года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№ 261-ФЗ «Об энергосбережении и повышении энергетической эффективности и о внесении изменений в отдельные законодательные акт</w:t>
      </w:r>
      <w:r>
        <w:rPr>
          <w:sz w:val="28"/>
          <w:szCs w:val="28"/>
        </w:rPr>
        <w:t xml:space="preserve">ы Российской Федерации» (далее – Федеральный закон № 261-ФЗ). В рамках реализации комплексного плана мероприятий по повышению энергетической эффективности экономики Российской Федерации, утвержденного распоряжением Правительства Российской Федерации от 19 </w:t>
      </w:r>
      <w:r>
        <w:rPr>
          <w:sz w:val="28"/>
          <w:szCs w:val="28"/>
        </w:rPr>
        <w:t xml:space="preserve">апреля 2018 г</w:t>
      </w:r>
      <w:r>
        <w:rPr>
          <w:sz w:val="28"/>
          <w:szCs w:val="28"/>
        </w:rPr>
        <w:t xml:space="preserve">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№ 703-р, Минэкономразвития Российской Федерации приказом от 15 июля 2020 </w:t>
      </w:r>
      <w:r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 425 утвердило методические рекомендации по определению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сопоставимы</w:t>
      </w:r>
      <w:r>
        <w:rPr>
          <w:sz w:val="28"/>
          <w:szCs w:val="28"/>
        </w:rPr>
        <w:t xml:space="preserve">х условиях целевого уровня снижения государственными (муниципальными) учреждениями суммарного объема потребляемых ими дизельного или иного топлива, мазута, природного газа, тепловой энергии, электрической энергии, угля, а также объема потребляемой ими воды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результатов проведенных энергетических обследований и данных деклараций о потреблении энергетических ресурсов.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Формирование в России </w:t>
      </w:r>
      <w:r>
        <w:rPr>
          <w:sz w:val="28"/>
          <w:szCs w:val="28"/>
        </w:rPr>
        <w:t xml:space="preserve">энергоэффективного</w:t>
      </w:r>
      <w:r>
        <w:rPr>
          <w:sz w:val="28"/>
          <w:szCs w:val="28"/>
        </w:rPr>
        <w:t xml:space="preserve"> общества - это неотъемлемая составляющая развития экономики России по инновационному пути. Переход к </w:t>
      </w:r>
      <w:r>
        <w:rPr>
          <w:sz w:val="28"/>
          <w:szCs w:val="28"/>
        </w:rPr>
        <w:t xml:space="preserve">энергоэффективному</w:t>
      </w:r>
      <w:r>
        <w:rPr>
          <w:sz w:val="28"/>
          <w:szCs w:val="28"/>
        </w:rPr>
        <w:t xml:space="preserve"> варианту развития должен быть совершен в ближайшие годы, иначе экономический рост будет сдерживаться из-за высоких цен и снижения доступности энергетических ресурсов.</w:t>
      </w:r>
      <w:r>
        <w:rPr>
          <w:sz w:val="28"/>
          <w:szCs w:val="28"/>
        </w:rPr>
      </w:r>
    </w:p>
    <w:p>
      <w:pPr>
        <w:ind w:firstLine="6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сновные </w:t>
      </w:r>
      <w:r>
        <w:rPr>
          <w:sz w:val="28"/>
          <w:szCs w:val="28"/>
        </w:rPr>
        <w:t xml:space="preserve">проблемы неэффективности использования энергетических ресурсов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ind w:left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изкая эффективность энергетического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хозяйства, повышение цен на </w:t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энергоносители обусловливают рост тарифов на потребляемые энергетические ресурсы и рост тарифного давления на жилищно-коммунальное хозяйство, население и организации бюджетной сферы. Доля энергетической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оставляющей в стоимос</w:t>
      </w:r>
      <w:r>
        <w:rPr>
          <w:sz w:val="28"/>
          <w:szCs w:val="28"/>
        </w:rPr>
        <w:t xml:space="preserve">ти услуг ЖКХ постоянно растет;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у</w:t>
      </w:r>
      <w:r>
        <w:rPr>
          <w:sz w:val="28"/>
          <w:szCs w:val="28"/>
        </w:rPr>
        <w:t xml:space="preserve">худшение экологической обстановки.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Повышенный объем потребления энергетических ресурсов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при высоком уровне потерь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ухудшает экологическую обстановку в муниципальном образовании. Плотность выбросов в атмосферу, производимых энергетическим хозяйством, в ряде случаев превышает соответствующие показатели пр</w:t>
      </w:r>
      <w:r>
        <w:rPr>
          <w:sz w:val="28"/>
          <w:szCs w:val="28"/>
        </w:rPr>
        <w:t xml:space="preserve">едельно допустимой концентрации;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устаревшее</w:t>
      </w:r>
      <w:r>
        <w:rPr>
          <w:sz w:val="28"/>
          <w:szCs w:val="28"/>
          <w:lang w:val="en-US"/>
        </w:rPr>
        <w:t xml:space="preserve">e</w:t>
      </w:r>
      <w:r>
        <w:rPr>
          <w:sz w:val="28"/>
          <w:szCs w:val="28"/>
        </w:rPr>
        <w:t xml:space="preserve"> оборудование, не соответствующее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 энергоэффективности.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Единственным выходом из ситуации является: 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проведение последовательной политики энергосбережения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повышения эффективности использования топливно-энергетических ресурсов в жилищно-коммунальном</w:t>
      </w:r>
      <w:r>
        <w:rPr>
          <w:sz w:val="28"/>
          <w:szCs w:val="28"/>
        </w:rPr>
        <w:t xml:space="preserve"> и бюджетном секторах хозяйства;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инновационный выбор программно-целевых методов решения организационно-управленческих и хозяйственно-технологических задач;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осуществление комплекса мер по интенсификации энергосбережения, которые заключаютс</w:t>
      </w:r>
      <w:r>
        <w:rPr>
          <w:sz w:val="28"/>
          <w:szCs w:val="28"/>
        </w:rPr>
        <w:t xml:space="preserve">я в разработке, принятии и реализации срочных согласованных действий по повышению энергетической эффективности при производстве, передаче и потреблении энергии и ресурсов других видов на территории Всеволожского муниципального района Ленинградской области.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Прогнозируемые конечные результаты реализации программы позволят обеспечить повышение эффективности использования топливно-энергетических рес</w:t>
      </w:r>
      <w:r>
        <w:rPr>
          <w:sz w:val="28"/>
          <w:szCs w:val="28"/>
        </w:rPr>
        <w:t xml:space="preserve">урсов в муниципальном образовании, так как решение проблемы энергосбережения и повышения энергетической эффективности носит долгосрочный характер, поскольку обусловлено необходимостью как изменения системы отношений на рынках энергоносителей, так и замены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модернизации значительной части производственной и инженерной инфраструктуры и её развития на новом технологическом фундаменте.</w:t>
      </w:r>
      <w:r>
        <w:rPr>
          <w:sz w:val="28"/>
          <w:szCs w:val="28"/>
        </w:rPr>
      </w:r>
    </w:p>
    <w:p>
      <w:pPr>
        <w:ind w:firstLine="648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На решение этих проблем направлены основные мероприятия</w:t>
      </w:r>
      <w:r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 xml:space="preserve">«</w:t>
      </w:r>
      <w:r>
        <w:rPr>
          <w:spacing w:val="-6"/>
          <w:sz w:val="28"/>
          <w:szCs w:val="28"/>
        </w:rPr>
        <w:t xml:space="preserve">Развитие коммуналь</w:t>
      </w:r>
      <w:r>
        <w:rPr>
          <w:spacing w:val="-6"/>
          <w:sz w:val="28"/>
          <w:szCs w:val="28"/>
        </w:rPr>
        <w:t xml:space="preserve">ной и инженерной инфраструктуры</w:t>
      </w:r>
      <w:r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и </w:t>
      </w:r>
      <w:r>
        <w:rPr>
          <w:spacing w:val="-6"/>
          <w:sz w:val="28"/>
          <w:szCs w:val="28"/>
        </w:rPr>
        <w:t xml:space="preserve">повышение энергетической эффективности </w:t>
      </w:r>
      <w:r>
        <w:rPr>
          <w:spacing w:val="-6"/>
          <w:sz w:val="28"/>
          <w:szCs w:val="28"/>
        </w:rPr>
        <w:t xml:space="preserve">во Всеволожском муниципальном районе</w:t>
      </w:r>
      <w:r>
        <w:rPr>
          <w:sz w:val="28"/>
          <w:szCs w:val="28"/>
        </w:rPr>
        <w:t xml:space="preserve">», способных обеспечить к 202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году поэтапный переход к рациональной модели потребления ресурсов.</w:t>
      </w:r>
      <w:r>
        <w:rPr>
          <w:spacing w:val="-6"/>
          <w:sz w:val="28"/>
          <w:szCs w:val="28"/>
        </w:rPr>
      </w:r>
    </w:p>
    <w:p>
      <w:pPr>
        <w:tabs>
          <w:tab w:val="left" w:pos="5400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</w:r>
    </w:p>
    <w:p>
      <w:pPr>
        <w:jc w:val="center"/>
        <w:widowControl w:val="off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  <w:t xml:space="preserve">Раздел 2. </w:t>
      </w:r>
      <w:r>
        <w:rPr>
          <w:b/>
          <w:sz w:val="28"/>
          <w:szCs w:val="28"/>
        </w:rPr>
        <w:t xml:space="preserve">Приоритеты и цели государственной (муниципальной) политики в сфере реализации муниципальной программы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</w:p>
    <w:p>
      <w:pPr>
        <w:jc w:val="center"/>
        <w:widowControl w:val="off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widowControl w:val="off"/>
        <w:rPr>
          <w:b/>
          <w:sz w:val="28"/>
          <w:szCs w:val="28"/>
        </w:rPr>
        <w:outlineLvl w:val="0"/>
      </w:pPr>
      <w:r>
        <w:rPr>
          <w:sz w:val="28"/>
          <w:szCs w:val="28"/>
        </w:rPr>
        <w:t xml:space="preserve">Муниципальная программа направлена на создание благоприятных </w:t>
      </w:r>
      <w:r>
        <w:rPr>
          <w:spacing w:val="-6"/>
          <w:sz w:val="28"/>
          <w:szCs w:val="28"/>
        </w:rPr>
        <w:t xml:space="preserve">условий для устойчивого социально-экономического развития Всеволожского муниципального</w:t>
      </w:r>
      <w:r>
        <w:rPr>
          <w:sz w:val="28"/>
          <w:szCs w:val="28"/>
        </w:rPr>
        <w:t xml:space="preserve"> района Ленинградской области</w:t>
      </w:r>
      <w:r>
        <w:rPr>
          <w:sz w:val="28"/>
          <w:szCs w:val="28"/>
        </w:rPr>
        <w:t xml:space="preserve">.</w:t>
      </w:r>
      <w:r>
        <w:rPr>
          <w:b/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Основной целью Программы является максимально эффективное использование </w:t>
      </w:r>
      <w:r>
        <w:rPr>
          <w:sz w:val="28"/>
          <w:szCs w:val="28"/>
        </w:rPr>
        <w:t xml:space="preserve">природных </w:t>
      </w:r>
      <w:r>
        <w:rPr>
          <w:sz w:val="28"/>
          <w:szCs w:val="28"/>
        </w:rPr>
        <w:t xml:space="preserve">энергетических ресурсов и потенциала энергетического сектора в целях устойчивого роста экономики Всеволожского муниципального района</w:t>
      </w:r>
      <w:r>
        <w:rPr>
          <w:sz w:val="28"/>
          <w:szCs w:val="28"/>
        </w:rPr>
        <w:t xml:space="preserve"> Ленинградской области.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Достижение этой цели обеспечивается за счет решения следующих задач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беспечение контроля за потреблением ресурсов путем оснащения прибо</w:t>
      </w:r>
      <w:r>
        <w:rPr>
          <w:sz w:val="28"/>
          <w:szCs w:val="28"/>
        </w:rPr>
        <w:t xml:space="preserve">рами учета энергоресурсов;</w:t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- п</w:t>
      </w:r>
      <w:r>
        <w:rPr>
          <w:sz w:val="28"/>
          <w:szCs w:val="28"/>
        </w:rPr>
        <w:t xml:space="preserve">овышение уровня рационального использования топлива и энергии за счет широкого внедрения энергосберегающих техно</w:t>
      </w:r>
      <w:r>
        <w:rPr>
          <w:sz w:val="28"/>
          <w:szCs w:val="28"/>
        </w:rPr>
        <w:t xml:space="preserve">логий и оборудования.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Реализация</w:t>
      </w:r>
      <w:r>
        <w:rPr>
          <w:sz w:val="28"/>
          <w:szCs w:val="28"/>
        </w:rPr>
        <w:t xml:space="preserve"> программы позволит добиться: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обеспечения контрол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расходов</w:t>
      </w:r>
      <w:r>
        <w:rPr>
          <w:sz w:val="28"/>
          <w:szCs w:val="28"/>
        </w:rPr>
        <w:t xml:space="preserve">ания</w:t>
      </w:r>
      <w:r>
        <w:rPr>
          <w:sz w:val="28"/>
          <w:szCs w:val="28"/>
        </w:rPr>
        <w:t xml:space="preserve"> энергетических ресурсов </w:t>
      </w:r>
      <w:r>
        <w:rPr>
          <w:sz w:val="28"/>
          <w:szCs w:val="28"/>
        </w:rPr>
        <w:t xml:space="preserve">при использовании</w:t>
      </w:r>
      <w:r>
        <w:rPr>
          <w:sz w:val="28"/>
          <w:szCs w:val="28"/>
        </w:rPr>
        <w:t xml:space="preserve"> приборов учёта;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снижения потребления энергоресурсов во всех секторах потребления за счет популяризации и внедрения энергосберегающих технологий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престижности энергосберегающего поведения;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экономии бюджетных средств </w:t>
      </w:r>
      <w:r>
        <w:rPr>
          <w:sz w:val="28"/>
          <w:szCs w:val="28"/>
        </w:rPr>
        <w:t xml:space="preserve">Всеволожского муниципального района Ленинградской области</w:t>
      </w:r>
      <w:r>
        <w:rPr>
          <w:sz w:val="28"/>
          <w:szCs w:val="28"/>
        </w:rPr>
        <w:t xml:space="preserve"> за счет снижения потребления по каждому виду энергоресурсов муниципальными учреждениями Всеволожского </w:t>
      </w:r>
      <w:r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повысить уровень жизни населения </w:t>
      </w:r>
      <w:r>
        <w:rPr>
          <w:sz w:val="28"/>
          <w:szCs w:val="28"/>
        </w:rPr>
        <w:t xml:space="preserve">Всеволожского муниципального района Ленинградской области</w:t>
      </w:r>
      <w:r>
        <w:rPr>
          <w:sz w:val="28"/>
          <w:szCs w:val="28"/>
        </w:rPr>
        <w:t xml:space="preserve"> за счет улучшения качества предоставления   услуг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</w:r>
    </w:p>
    <w:p>
      <w:pPr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вовлечение всех групп потребителей в процесс </w:t>
      </w:r>
      <w:r>
        <w:rPr>
          <w:sz w:val="28"/>
          <w:szCs w:val="28"/>
        </w:rPr>
        <w:t xml:space="preserve">энерго</w:t>
      </w: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ресурсосбережения;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улучшения экологической ситуации.</w:t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Полноценная реализация потенциала энергосбережения позволит высвободить значительные дополнительные объемы ископаемого топлива для экспорта, «озеленить» баланс потребляемой энергии, сократить выбросы в атмосферу, повысить качество жизни населения.</w:t>
      </w:r>
      <w:r>
        <w:rPr>
          <w:sz w:val="28"/>
          <w:szCs w:val="28"/>
          <w:highlight w:val="yellow"/>
        </w:rPr>
      </w:r>
    </w:p>
    <w:p>
      <w:pPr>
        <w:ind w:firstLine="54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3.</w:t>
      </w:r>
      <w:r>
        <w:rPr>
          <w:b/>
          <w:sz w:val="28"/>
          <w:szCs w:val="28"/>
        </w:rPr>
        <w:t xml:space="preserve"> Структурные элементы </w:t>
      </w:r>
      <w:r>
        <w:rPr>
          <w:b/>
          <w:sz w:val="28"/>
          <w:szCs w:val="28"/>
        </w:rPr>
        <w:t xml:space="preserve">муниципальной</w:t>
      </w:r>
      <w:r>
        <w:rPr>
          <w:b/>
          <w:sz w:val="28"/>
          <w:szCs w:val="28"/>
        </w:rPr>
        <w:t xml:space="preserve"> программы</w:t>
      </w:r>
      <w:r>
        <w:rPr>
          <w:b/>
          <w:sz w:val="28"/>
          <w:szCs w:val="28"/>
        </w:rPr>
      </w:r>
    </w:p>
    <w:p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решения задач муниципальной программы не осуществляется реализация федеральных (региональных, муниципальных) проектов.</w:t>
      </w:r>
      <w:r>
        <w:rPr>
          <w:sz w:val="28"/>
          <w:szCs w:val="28"/>
        </w:rPr>
      </w:r>
    </w:p>
    <w:p>
      <w:pPr>
        <w:ind w:firstLine="708"/>
        <w:jc w:val="both"/>
        <w:rPr>
          <w:spacing w:val="-10"/>
          <w:sz w:val="28"/>
          <w:szCs w:val="28"/>
        </w:rPr>
      </w:pPr>
      <w:r>
        <w:rPr>
          <w:spacing w:val="-6"/>
          <w:sz w:val="28"/>
          <w:szCs w:val="28"/>
        </w:rPr>
        <w:t xml:space="preserve">Решение задачи муниципальной программы «Обеспечение контроля за потреблением ресурсов путем оснащения узлами учета энергоресурсов» достигается в рамках осуществления комплекса процессных мероприятий</w:t>
      </w:r>
      <w:r>
        <w:rPr>
          <w:sz w:val="28"/>
          <w:szCs w:val="28"/>
        </w:rPr>
        <w:t xml:space="preserve"> «Проектирование и ремонт ИТП с установкой узлов учета тепловой энергии» путем выполнения следующих мероприятий:</w:t>
      </w:r>
      <w:r>
        <w:rPr>
          <w:spacing w:val="-10"/>
          <w:sz w:val="28"/>
          <w:szCs w:val="28"/>
        </w:rPr>
      </w:r>
    </w:p>
    <w:p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- проектирование ИТП (индивидуальных тепловых пунктов) с узлами учета тепловой энергии;</w:t>
      </w:r>
      <w:r>
        <w:rPr>
          <w:spacing w:val="-6"/>
          <w:sz w:val="28"/>
          <w:szCs w:val="28"/>
        </w:rPr>
      </w:r>
    </w:p>
    <w:p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- ремонт ИТП (индивидуальных тепловых пунктов) с установкой узлов учета тепловой энергии.</w:t>
      </w:r>
      <w:r>
        <w:rPr>
          <w:spacing w:val="-6"/>
          <w:sz w:val="28"/>
          <w:szCs w:val="28"/>
        </w:rPr>
      </w:r>
    </w:p>
    <w:p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Решение задачи муниципальной программы «Повышение уровня рационального использования топлива и энергии за счет широкого внедрения энергосберегающих технологий и оборудования» </w:t>
      </w:r>
      <w:r>
        <w:rPr>
          <w:spacing w:val="-6"/>
          <w:sz w:val="28"/>
          <w:szCs w:val="28"/>
        </w:rPr>
        <w:t xml:space="preserve">достигается в рамках осуществления комплекса процессных мероприятий «Привлечение внебюджетных источников финансирования и пропаганда энергосбережения» путем выполнения следующих мероприятий:</w:t>
      </w:r>
      <w:r>
        <w:rPr>
          <w:spacing w:val="-6"/>
          <w:sz w:val="28"/>
          <w:szCs w:val="28"/>
        </w:rPr>
      </w:r>
    </w:p>
    <w:p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- заключение энергосервисных контрактов;</w:t>
      </w:r>
      <w:r>
        <w:rPr>
          <w:spacing w:val="-6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r>
        <w:rPr>
          <w:sz w:val="28"/>
          <w:szCs w:val="28"/>
        </w:rPr>
        <w:t xml:space="preserve">информационного обеспечения и пропаганды эффективного использования энергетических ресурсов.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  <w:highlight w:val="yellow"/>
          <w:u w:val="single"/>
        </w:rPr>
      </w:pPr>
      <w:r>
        <w:rPr>
          <w:sz w:val="28"/>
          <w:szCs w:val="28"/>
          <w:highlight w:val="yellow"/>
          <w:u w:val="single"/>
        </w:rPr>
      </w:r>
      <w:r>
        <w:rPr>
          <w:sz w:val="28"/>
          <w:szCs w:val="28"/>
          <w:highlight w:val="yellow"/>
          <w:u w:val="single"/>
        </w:rPr>
      </w:r>
    </w:p>
    <w:p>
      <w:pPr>
        <w:ind w:firstLine="709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4. Приложения к муниципальной программе</w:t>
      </w:r>
      <w:r>
        <w:rPr>
          <w:b/>
          <w:sz w:val="28"/>
          <w:szCs w:val="28"/>
        </w:rPr>
      </w:r>
    </w:p>
    <w:p>
      <w:pPr>
        <w:ind w:firstLine="709"/>
        <w:jc w:val="center"/>
        <w:widowControl w:val="off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</w:r>
      <w:r>
        <w:rPr>
          <w:b/>
          <w:sz w:val="28"/>
          <w:szCs w:val="28"/>
          <w:highlight w:val="yellow"/>
        </w:rPr>
      </w:r>
    </w:p>
    <w:p>
      <w:pPr>
        <w:ind w:firstLine="709"/>
        <w:jc w:val="both"/>
        <w:widowControl w:val="off"/>
        <w:rPr>
          <w:sz w:val="22"/>
          <w:szCs w:val="20"/>
        </w:rPr>
      </w:pPr>
      <w:r>
        <w:rPr>
          <w:sz w:val="28"/>
          <w:szCs w:val="28"/>
        </w:rPr>
        <w:t xml:space="preserve">Сведения о показателях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(индикаторах)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программы и их значения представлены в приложении 1 к Муниципальной программе</w:t>
      </w:r>
      <w:r>
        <w:rPr>
          <w:sz w:val="28"/>
          <w:szCs w:val="28"/>
        </w:rPr>
        <w:t xml:space="preserve">.</w:t>
      </w:r>
      <w:r>
        <w:rPr>
          <w:b/>
          <w:color w:val="ff0000"/>
          <w:sz w:val="28"/>
          <w:szCs w:val="28"/>
        </w:rPr>
        <w:t xml:space="preserve"> </w:t>
      </w:r>
      <w:r>
        <w:rPr>
          <w:sz w:val="22"/>
          <w:szCs w:val="20"/>
        </w:rPr>
      </w:r>
    </w:p>
    <w:p>
      <w:pPr>
        <w:ind w:firstLine="709"/>
        <w:jc w:val="both"/>
        <w:widowControl w:val="off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 xml:space="preserve">Сведения о порядке сбора информации и методике расчета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показателей (индикаторов) муниципальной программы</w:t>
      </w:r>
      <w:r>
        <w:rPr>
          <w:sz w:val="28"/>
          <w:szCs w:val="28"/>
        </w:rPr>
        <w:t xml:space="preserve"> </w:t>
      </w:r>
      <w:r>
        <w:rPr>
          <w:color w:val="000000"/>
          <w:spacing w:val="-14"/>
          <w:sz w:val="28"/>
          <w:szCs w:val="28"/>
        </w:rPr>
        <w:t xml:space="preserve">представлена в приложении 2 </w:t>
      </w:r>
      <w:r>
        <w:rPr>
          <w:color w:val="000000"/>
          <w:spacing w:val="-14"/>
          <w:sz w:val="28"/>
          <w:szCs w:val="28"/>
        </w:rPr>
        <w:br/>
      </w:r>
      <w:r>
        <w:rPr>
          <w:color w:val="000000"/>
          <w:spacing w:val="-14"/>
          <w:sz w:val="28"/>
          <w:szCs w:val="28"/>
        </w:rPr>
        <w:t xml:space="preserve">к </w:t>
      </w:r>
      <w:r>
        <w:rPr>
          <w:sz w:val="28"/>
          <w:szCs w:val="28"/>
        </w:rPr>
        <w:t xml:space="preserve">Муниципальной программе</w:t>
      </w:r>
      <w:r>
        <w:rPr>
          <w:sz w:val="28"/>
          <w:szCs w:val="28"/>
        </w:rPr>
        <w:t xml:space="preserve">.</w:t>
      </w:r>
      <w:r>
        <w:rPr>
          <w:b/>
          <w:color w:val="ff0000"/>
          <w:sz w:val="28"/>
          <w:szCs w:val="28"/>
        </w:rPr>
      </w:r>
    </w:p>
    <w:p>
      <w:pPr>
        <w:ind w:firstLine="67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реализации </w:t>
      </w:r>
      <w:r>
        <w:rPr>
          <w:sz w:val="28"/>
          <w:szCs w:val="28"/>
        </w:rPr>
        <w:t xml:space="preserve">муниципальной прог</w:t>
      </w:r>
      <w:r>
        <w:rPr>
          <w:sz w:val="28"/>
          <w:szCs w:val="28"/>
        </w:rPr>
        <w:t xml:space="preserve">раммы представлен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приложении 3</w:t>
      </w:r>
      <w:r>
        <w:rPr>
          <w:sz w:val="28"/>
          <w:szCs w:val="28"/>
        </w:rPr>
        <w:t xml:space="preserve"> к Муниципальной программе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67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Сводный детальный план реализации </w:t>
      </w:r>
      <w:r>
        <w:rPr>
          <w:sz w:val="28"/>
          <w:szCs w:val="28"/>
        </w:rPr>
        <w:t xml:space="preserve">муниципальной прог</w:t>
      </w:r>
      <w:r>
        <w:rPr>
          <w:sz w:val="28"/>
          <w:szCs w:val="28"/>
        </w:rPr>
        <w:t xml:space="preserve">раммы представлен в приложении 4</w:t>
      </w:r>
      <w:r>
        <w:rPr>
          <w:sz w:val="28"/>
          <w:szCs w:val="28"/>
        </w:rPr>
        <w:t xml:space="preserve"> к Муниципальной программе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67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7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7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</w:t>
      </w:r>
      <w:r>
        <w:rPr>
          <w:sz w:val="28"/>
          <w:szCs w:val="28"/>
        </w:rPr>
      </w:r>
    </w:p>
    <w:p>
      <w:pPr>
        <w:ind w:firstLine="672"/>
        <w:rPr>
          <w:sz w:val="28"/>
          <w:szCs w:val="28"/>
        </w:rPr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w="11906" w:h="16838" w:orient="portrait"/>
          <w:pgMar w:top="1134" w:right="850" w:bottom="1134" w:left="1701" w:header="709" w:footer="539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right"/>
        <w:widowControl w:val="off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Приложение 1</w:t>
      </w:r>
      <w:r>
        <w:rPr>
          <w:i/>
          <w:sz w:val="28"/>
          <w:szCs w:val="28"/>
        </w:rPr>
      </w:r>
    </w:p>
    <w:p>
      <w:pPr>
        <w:ind w:firstLine="709"/>
        <w:jc w:val="right"/>
        <w:widowControl w:val="off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 Пр</w:t>
      </w:r>
      <w:r>
        <w:rPr>
          <w:i/>
          <w:sz w:val="28"/>
          <w:szCs w:val="28"/>
        </w:rPr>
        <w:t xml:space="preserve">ограмме</w:t>
      </w:r>
      <w:r>
        <w:rPr>
          <w:i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о показателях (индикаторах)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и их значениях</w:t>
      </w:r>
      <w:r>
        <w:rPr>
          <w:sz w:val="28"/>
          <w:szCs w:val="28"/>
        </w:rPr>
      </w:r>
    </w:p>
    <w:p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5328" w:type="dxa"/>
        <w:tblInd w:w="-8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63"/>
        <w:gridCol w:w="6302"/>
        <w:gridCol w:w="1073"/>
        <w:gridCol w:w="1620"/>
        <w:gridCol w:w="1134"/>
        <w:gridCol w:w="1134"/>
        <w:gridCol w:w="1134"/>
        <w:gridCol w:w="1134"/>
        <w:gridCol w:w="113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63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N п/п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302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Показатель (индикатор) </w:t>
            </w:r>
            <w:r/>
          </w:p>
          <w:p>
            <w:pPr>
              <w:jc w:val="center"/>
            </w:pPr>
            <w:r>
              <w:t xml:space="preserve">(наименование)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073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Ед. измерения</w:t>
            </w:r>
            <w:r/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90" w:type="dxa"/>
            <w:textDirection w:val="lrTb"/>
            <w:noWrap w:val="false"/>
          </w:tcPr>
          <w:p>
            <w:pPr>
              <w:jc w:val="center"/>
            </w:pPr>
            <w:r>
              <w:t xml:space="preserve">Значения показателей (индикаторов) </w:t>
            </w:r>
            <w:r/>
          </w:p>
        </w:tc>
      </w:tr>
      <w:tr>
        <w:tblPrEx/>
        <w:trPr>
          <w:trHeight w:val="150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66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6302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0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620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Базовый период (2023 год) (фактическое значение)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2024 год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2025 год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2026 год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2027 год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2028 год</w:t>
            </w:r>
            <w:r/>
          </w:p>
        </w:tc>
      </w:tr>
      <w:tr>
        <w:tblPrEx/>
        <w:trPr>
          <w:trHeight w:val="369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2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0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textDirection w:val="lrTb"/>
            <w:noWrap w:val="false"/>
          </w:tcPr>
          <w:p>
            <w:pPr>
              <w:jc w:val="center"/>
            </w:pPr>
            <w:r>
              <w:t xml:space="preserve">Плановое значение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2" w:type="dxa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3" w:type="dxa"/>
            <w:textDirection w:val="lrTb"/>
            <w:noWrap w:val="false"/>
          </w:tcPr>
          <w:p>
            <w:pPr>
              <w:jc w:val="center"/>
            </w:pPr>
            <w: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0" w:type="dxa"/>
            <w:textDirection w:val="lrTb"/>
            <w:noWrap w:val="false"/>
          </w:tcPr>
          <w:p>
            <w:pPr>
              <w:jc w:val="center"/>
            </w:pPr>
            <w: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9</w:t>
            </w:r>
            <w:r/>
          </w:p>
        </w:tc>
      </w:tr>
      <w:tr>
        <w:tblPrEx/>
        <w:trPr>
          <w:trHeight w:val="34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531" w:type="dxa"/>
            <w:textDirection w:val="lrTb"/>
            <w:noWrap w:val="false"/>
          </w:tcPr>
          <w:p>
            <w:pPr>
              <w:jc w:val="center"/>
            </w:pPr>
            <w:r>
              <w:t xml:space="preserve">Муниципальная программа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87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2" w:type="dxa"/>
            <w:textDirection w:val="lrTb"/>
            <w:noWrap w:val="false"/>
          </w:tcPr>
          <w:p>
            <w:r>
              <w:t xml:space="preserve">Количество выполненных проектов индивидуальных тепловых пунктов (ИТП) с узлом учета тепловой энергии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0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шт.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620" w:type="dxa"/>
            <w:textDirection w:val="lrTb"/>
            <w:noWrap w:val="false"/>
          </w:tcPr>
          <w:p>
            <w:pPr>
              <w:jc w:val="center"/>
            </w:pPr>
            <w: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0</w:t>
            </w:r>
            <w:r/>
          </w:p>
        </w:tc>
      </w:tr>
      <w:tr>
        <w:tblPrEx/>
        <w:trPr>
          <w:trHeight w:val="97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2" w:type="dxa"/>
            <w:textDirection w:val="lrTb"/>
            <w:noWrap w:val="false"/>
          </w:tcPr>
          <w:p>
            <w:r>
              <w:t xml:space="preserve">Количество отремонтированных индивидуальных тепловых пунктов (ИТП) с установкой узлов учета тепловой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шт.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0" w:type="dxa"/>
            <w:textDirection w:val="lrTb"/>
            <w:noWrap w:val="false"/>
          </w:tcPr>
          <w:p>
            <w:pPr>
              <w:jc w:val="center"/>
            </w:pPr>
            <w: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3</w:t>
            </w:r>
            <w:r/>
          </w:p>
        </w:tc>
      </w:tr>
      <w:tr>
        <w:tblPrEx/>
        <w:trPr>
          <w:trHeight w:val="5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02" w:type="dxa"/>
            <w:textDirection w:val="lrTb"/>
            <w:noWrap w:val="false"/>
          </w:tcPr>
          <w:p>
            <w:r>
              <w:rPr>
                <w:spacing w:val="-6"/>
              </w:rPr>
              <w:t xml:space="preserve">Количество заключенных энергосервисных контрактов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0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шт.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620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1"/>
        </w:trPr>
        <w:tc>
          <w:tcPr>
            <w:tcBorders>
              <w:top w:val="single" w:color="auto" w:sz="4" w:space="0"/>
            </w:tcBorders>
            <w:tcW w:w="663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Cs w:val="28"/>
              </w:rPr>
            </w:r>
          </w:p>
        </w:tc>
        <w:tc>
          <w:tcPr>
            <w:tcW w:w="6302" w:type="dxa"/>
            <w:textDirection w:val="lrTb"/>
            <w:noWrap w:val="false"/>
          </w:tcPr>
          <w:p>
            <w:pPr>
              <w:jc w:val="both"/>
            </w:pPr>
            <w:r>
              <w:t xml:space="preserve">Количество опубликованных и размещенных на сайтах информационных материалов по пропаганде</w:t>
            </w:r>
            <w:r/>
          </w:p>
          <w:p>
            <w:r/>
            <w:r/>
          </w:p>
        </w:tc>
        <w:tc>
          <w:tcPr>
            <w:tcW w:w="1073" w:type="dxa"/>
            <w:textDirection w:val="lrTb"/>
            <w:noWrap w:val="false"/>
          </w:tcPr>
          <w:p>
            <w:pPr>
              <w:jc w:val="center"/>
            </w:pPr>
            <w:r>
              <w:t xml:space="preserve">шт.</w:t>
            </w:r>
            <w:r/>
          </w:p>
        </w:tc>
        <w:tc>
          <w:tcPr>
            <w:tcW w:w="1620" w:type="dxa"/>
            <w:textDirection w:val="lrTb"/>
            <w:noWrap w:val="false"/>
          </w:tcPr>
          <w:p>
            <w:pPr>
              <w:jc w:val="center"/>
              <w:rPr>
                <w:spacing w:val="-6"/>
              </w:rPr>
            </w:pPr>
            <w:r>
              <w:t xml:space="preserve">2</w:t>
            </w:r>
            <w:r>
              <w:rPr>
                <w:spacing w:val="-6"/>
              </w:rPr>
            </w:r>
          </w:p>
          <w:p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</w:r>
            <w:r>
              <w:rPr>
                <w:spacing w:val="-6"/>
              </w:rPr>
            </w:r>
          </w:p>
          <w:p>
            <w:pPr>
              <w:jc w:val="center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</w:tc>
      </w:tr>
    </w:tbl>
    <w:p>
      <w:pPr>
        <w:spacing w:after="160" w:line="259" w:lineRule="auto"/>
        <w:tabs>
          <w:tab w:val="left" w:pos="3690" w:leader="none"/>
        </w:tabs>
        <w:rPr>
          <w:sz w:val="28"/>
          <w:szCs w:val="28"/>
        </w:rPr>
        <w:sectPr>
          <w:footnotePr/>
          <w:endnotePr/>
          <w:type w:val="nextPage"/>
          <w:pgSz w:w="16838" w:h="11906" w:orient="landscape"/>
          <w:pgMar w:top="1560" w:right="1134" w:bottom="680" w:left="709" w:header="709" w:footer="537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</w:t>
      </w:r>
      <w:r>
        <w:rPr>
          <w:sz w:val="28"/>
          <w:szCs w:val="28"/>
        </w:rPr>
      </w:r>
    </w:p>
    <w:p>
      <w:pPr>
        <w:jc w:val="right"/>
        <w:widowControl w:val="off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Приложение 2</w:t>
      </w:r>
      <w:r>
        <w:rPr>
          <w:i/>
          <w:sz w:val="28"/>
          <w:szCs w:val="28"/>
        </w:rPr>
      </w:r>
    </w:p>
    <w:p>
      <w:pPr>
        <w:jc w:val="right"/>
        <w:widowControl w:val="off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 Пр</w:t>
      </w:r>
      <w:r>
        <w:rPr>
          <w:i/>
          <w:sz w:val="28"/>
          <w:szCs w:val="28"/>
        </w:rPr>
        <w:t xml:space="preserve">ограмме</w:t>
      </w:r>
      <w:r>
        <w:rPr>
          <w:i/>
          <w:sz w:val="28"/>
          <w:szCs w:val="28"/>
        </w:rPr>
      </w:r>
    </w:p>
    <w:p>
      <w:pPr>
        <w:jc w:val="center"/>
        <w:widowControl w:val="off"/>
        <w:rPr>
          <w:sz w:val="22"/>
          <w:szCs w:val="20"/>
        </w:rPr>
      </w:pPr>
      <w:r/>
      <w:bookmarkStart w:id="1" w:name="P799"/>
      <w:r/>
      <w:bookmarkEnd w:id="1"/>
      <w:r/>
      <w:r>
        <w:rPr>
          <w:sz w:val="22"/>
          <w:szCs w:val="20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Сведения о порядке сбора информации и методике расчета</w:t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показателей (индикаторов) муниципальной программы</w:t>
      </w:r>
      <w:r>
        <w:rPr>
          <w:sz w:val="28"/>
          <w:szCs w:val="28"/>
        </w:rPr>
      </w:r>
    </w:p>
    <w:p>
      <w:pPr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28"/>
        <w:gridCol w:w="2584"/>
        <w:gridCol w:w="1558"/>
        <w:gridCol w:w="1982"/>
        <w:gridCol w:w="3826"/>
        <w:gridCol w:w="2017"/>
        <w:gridCol w:w="2145"/>
        <w:gridCol w:w="1394"/>
      </w:tblGrid>
      <w:tr>
        <w:tblPrEx/>
        <w:trPr/>
        <w:tc>
          <w:tcPr>
            <w:tcW w:w="227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  <w:t xml:space="preserve"> п/п</w:t>
            </w:r>
            <w:r>
              <w:rPr>
                <w:szCs w:val="28"/>
              </w:rPr>
            </w:r>
          </w:p>
        </w:tc>
        <w:tc>
          <w:tcPr>
            <w:tcW w:w="868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показателя</w:t>
            </w:r>
            <w:r>
              <w:rPr>
                <w:szCs w:val="28"/>
              </w:rPr>
            </w:r>
          </w:p>
        </w:tc>
        <w:tc>
          <w:tcPr>
            <w:tcW w:w="548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Единица измерения</w:t>
            </w:r>
            <w:r>
              <w:rPr>
                <w:szCs w:val="28"/>
              </w:rPr>
            </w:r>
          </w:p>
        </w:tc>
        <w:tc>
          <w:tcPr>
            <w:tcW w:w="548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Временная характеристика </w:t>
            </w:r>
            <w:r>
              <w:rPr>
                <w:szCs w:val="28"/>
              </w:rPr>
            </w:r>
          </w:p>
        </w:tc>
        <w:tc>
          <w:tcPr>
            <w:tcW w:w="1255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Алгоритм формирования/пункт Федерального плана статистических работ </w:t>
            </w:r>
            <w:r>
              <w:rPr>
                <w:szCs w:val="28"/>
              </w:rPr>
            </w:r>
          </w:p>
        </w:tc>
        <w:tc>
          <w:tcPr>
            <w:tcW w:w="502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Срок предоставления отчетности</w:t>
            </w:r>
            <w:r>
              <w:rPr>
                <w:szCs w:val="28"/>
              </w:rPr>
            </w:r>
          </w:p>
        </w:tc>
        <w:tc>
          <w:tcPr>
            <w:tcW w:w="731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за сбор данных по показателю </w:t>
            </w:r>
            <w:r>
              <w:rPr>
                <w:szCs w:val="28"/>
              </w:rPr>
            </w:r>
          </w:p>
        </w:tc>
        <w:tc>
          <w:tcPr>
            <w:tcW w:w="320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Реквизиты акта </w:t>
            </w:r>
            <w:r>
              <w:rPr>
                <w:szCs w:val="28"/>
              </w:rPr>
            </w:r>
          </w:p>
        </w:tc>
      </w:tr>
      <w:tr>
        <w:tblPrEx/>
        <w:trPr>
          <w:trHeight w:val="247"/>
        </w:trPr>
        <w:tc>
          <w:tcPr>
            <w:tcW w:w="227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Cs w:val="28"/>
              </w:rPr>
            </w:r>
          </w:p>
        </w:tc>
        <w:tc>
          <w:tcPr>
            <w:tcW w:w="868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Cs w:val="28"/>
              </w:rPr>
            </w:r>
          </w:p>
        </w:tc>
        <w:tc>
          <w:tcPr>
            <w:tcW w:w="548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Cs w:val="28"/>
              </w:rPr>
            </w:r>
          </w:p>
        </w:tc>
        <w:tc>
          <w:tcPr>
            <w:tcW w:w="548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Cs w:val="28"/>
              </w:rPr>
            </w:r>
          </w:p>
        </w:tc>
        <w:tc>
          <w:tcPr>
            <w:tcW w:w="1255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Cs w:val="28"/>
              </w:rPr>
            </w:r>
          </w:p>
        </w:tc>
        <w:tc>
          <w:tcPr>
            <w:tcW w:w="502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Cs w:val="28"/>
              </w:rPr>
            </w:r>
          </w:p>
        </w:tc>
        <w:tc>
          <w:tcPr>
            <w:tcW w:w="731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Cs w:val="28"/>
              </w:rPr>
            </w:r>
          </w:p>
        </w:tc>
        <w:tc>
          <w:tcPr>
            <w:tcW w:w="320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W w:w="227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1</w:t>
            </w:r>
            <w:r/>
          </w:p>
        </w:tc>
        <w:tc>
          <w:tcPr>
            <w:tcW w:w="868" w:type="pct"/>
            <w:textDirection w:val="lrTb"/>
            <w:noWrap w:val="false"/>
          </w:tcPr>
          <w:p>
            <w:pPr>
              <w:spacing w:line="240" w:lineRule="exact"/>
              <w:widowControl w:val="off"/>
            </w:pPr>
            <w:r>
              <w:t xml:space="preserve">Количество выполненных </w:t>
            </w:r>
            <w:r>
              <w:t xml:space="preserve">проектов индивидуальных тепловых пунктов (ИТП) с узлом учета тепловой энергии</w:t>
            </w:r>
            <w:r/>
          </w:p>
        </w:tc>
        <w:tc>
          <w:tcPr>
            <w:tcW w:w="548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шт.</w:t>
            </w:r>
            <w:r/>
          </w:p>
        </w:tc>
        <w:tc>
          <w:tcPr>
            <w:tcW w:w="548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ежегодно</w:t>
            </w:r>
            <w:r/>
          </w:p>
        </w:tc>
        <w:tc>
          <w:tcPr>
            <w:tcW w:w="1255" w:type="pct"/>
            <w:textDirection w:val="lrTb"/>
            <w:noWrap w:val="false"/>
          </w:tcPr>
          <w:p>
            <w:pPr>
              <w:pStyle w:val="733"/>
              <w:ind w:left="80"/>
              <w:jc w:val="both"/>
              <w:spacing w:before="0" w:beforeAutospacing="0" w:after="0" w:afterAutospacing="0" w:line="240" w:lineRule="exact"/>
              <w:tabs>
                <w:tab w:val="left" w:pos="400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</w:pPr>
            <w:r>
              <w:t xml:space="preserve">путем сопоставления фактически достигнутых значений целевых показателей (индикаторов) программы и их плановых значений, по формуле:</w:t>
            </w:r>
            <w:r/>
          </w:p>
          <w:p>
            <w:pPr>
              <w:ind w:left="80"/>
              <w:jc w:val="center"/>
              <w:spacing w:line="240" w:lineRule="exact"/>
              <w:widowControl w:val="off"/>
            </w:pP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  <w:vertAlign w:val="subscript"/>
              </w:rPr>
              <w:t xml:space="preserve">д</w:t>
            </w:r>
            <w:r>
              <w:rPr>
                <w:sz w:val="28"/>
                <w:szCs w:val="28"/>
                <w:vertAlign w:val="subscript"/>
                <w:lang w:val="en-US"/>
              </w:rPr>
              <w:t xml:space="preserve">n</w:t>
            </w:r>
            <w:r>
              <w:rPr>
                <w:sz w:val="28"/>
                <w:szCs w:val="28"/>
              </w:rPr>
              <w:t xml:space="preserve"> = </w:t>
            </w:r>
            <w:r>
              <w:rPr>
                <w:sz w:val="28"/>
                <w:szCs w:val="28"/>
              </w:rPr>
              <w:t xml:space="preserve">З</w:t>
            </w:r>
            <w:r>
              <w:rPr>
                <w:sz w:val="28"/>
                <w:szCs w:val="28"/>
                <w:vertAlign w:val="subscript"/>
              </w:rPr>
              <w:t xml:space="preserve">ф</w:t>
            </w:r>
            <w:r>
              <w:rPr>
                <w:sz w:val="28"/>
                <w:szCs w:val="28"/>
              </w:rPr>
              <w:t xml:space="preserve"> /</w:t>
            </w:r>
            <w:r>
              <w:rPr>
                <w:sz w:val="28"/>
                <w:szCs w:val="28"/>
              </w:rPr>
              <w:t xml:space="preserve">З</w:t>
            </w:r>
            <w:r>
              <w:rPr>
                <w:sz w:val="28"/>
                <w:szCs w:val="28"/>
                <w:vertAlign w:val="subscript"/>
              </w:rPr>
              <w:t xml:space="preserve">п</w:t>
            </w:r>
            <w:r>
              <w:rPr>
                <w:sz w:val="28"/>
                <w:szCs w:val="28"/>
              </w:rPr>
              <w:t xml:space="preserve"> * 100%</w:t>
            </w:r>
            <w:r/>
          </w:p>
        </w:tc>
        <w:tc>
          <w:tcPr>
            <w:tcW w:w="502" w:type="pct"/>
            <w:textDirection w:val="lrTb"/>
            <w:noWrap w:val="false"/>
          </w:tcPr>
          <w:p>
            <w:pPr>
              <w:spacing w:line="240" w:lineRule="exact"/>
              <w:widowControl w:val="off"/>
            </w:pPr>
            <w:r>
              <w:t xml:space="preserve">до 01 февраля</w:t>
            </w:r>
            <w:r/>
          </w:p>
        </w:tc>
        <w:tc>
          <w:tcPr>
            <w:tcW w:w="731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Отдел развития коммунальной инфраструктуры и ценообразования Управления ЖКХ администрации</w:t>
            </w:r>
            <w:r/>
          </w:p>
        </w:tc>
        <w:tc>
          <w:tcPr>
            <w:tcW w:w="320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/>
            <w:r/>
          </w:p>
        </w:tc>
      </w:tr>
      <w:tr>
        <w:tblPrEx/>
        <w:trPr>
          <w:trHeight w:val="1973"/>
        </w:trPr>
        <w:tc>
          <w:tcPr>
            <w:tcW w:w="227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2</w:t>
            </w:r>
            <w:r/>
          </w:p>
        </w:tc>
        <w:tc>
          <w:tcPr>
            <w:tcW w:w="868" w:type="pct"/>
            <w:textDirection w:val="lrTb"/>
            <w:noWrap w:val="false"/>
          </w:tcPr>
          <w:p>
            <w:pPr>
              <w:spacing w:line="240" w:lineRule="exact"/>
              <w:widowControl w:val="off"/>
            </w:pPr>
            <w:r>
              <w:t xml:space="preserve">Количество </w:t>
            </w:r>
            <w:r>
              <w:t xml:space="preserve">отремонтированных индивидуальных тепловых пунктов (ИТП) с установкой узлов учета тепловой энергии</w:t>
            </w:r>
            <w:r/>
          </w:p>
        </w:tc>
        <w:tc>
          <w:tcPr>
            <w:tcW w:w="548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шт.</w:t>
            </w:r>
            <w:r/>
          </w:p>
        </w:tc>
        <w:tc>
          <w:tcPr>
            <w:tcW w:w="548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ежегодно</w:t>
            </w:r>
            <w:r/>
          </w:p>
        </w:tc>
        <w:tc>
          <w:tcPr>
            <w:tcW w:w="1255" w:type="pct"/>
            <w:textDirection w:val="lrTb"/>
            <w:noWrap w:val="false"/>
          </w:tcPr>
          <w:p>
            <w:pPr>
              <w:pStyle w:val="733"/>
              <w:ind w:left="80"/>
              <w:jc w:val="both"/>
              <w:spacing w:before="0" w:beforeAutospacing="0" w:after="0" w:afterAutospacing="0" w:line="240" w:lineRule="exact"/>
              <w:tabs>
                <w:tab w:val="left" w:pos="400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</w:pPr>
            <w:r>
              <w:t xml:space="preserve">путем сопоставления фактически достигнутых значений целевых показателей (индикаторов) программы и их плановых значений, по формуле:</w:t>
            </w:r>
            <w:r/>
          </w:p>
          <w:p>
            <w:pPr>
              <w:jc w:val="center"/>
              <w:spacing w:line="240" w:lineRule="exact"/>
              <w:widowControl w:val="off"/>
            </w:pP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  <w:vertAlign w:val="subscript"/>
              </w:rPr>
              <w:t xml:space="preserve">д</w:t>
            </w:r>
            <w:r>
              <w:rPr>
                <w:sz w:val="28"/>
                <w:szCs w:val="28"/>
                <w:vertAlign w:val="subscript"/>
                <w:lang w:val="en-US"/>
              </w:rPr>
              <w:t xml:space="preserve">n</w:t>
            </w:r>
            <w:r>
              <w:rPr>
                <w:sz w:val="28"/>
                <w:szCs w:val="28"/>
              </w:rPr>
              <w:t xml:space="preserve"> = </w:t>
            </w:r>
            <w:r>
              <w:rPr>
                <w:sz w:val="28"/>
                <w:szCs w:val="28"/>
              </w:rPr>
              <w:t xml:space="preserve">З</w:t>
            </w:r>
            <w:r>
              <w:rPr>
                <w:sz w:val="28"/>
                <w:szCs w:val="28"/>
                <w:vertAlign w:val="subscript"/>
              </w:rPr>
              <w:t xml:space="preserve">ф</w:t>
            </w:r>
            <w:r>
              <w:rPr>
                <w:sz w:val="28"/>
                <w:szCs w:val="28"/>
              </w:rPr>
              <w:t xml:space="preserve"> /</w:t>
            </w:r>
            <w:r>
              <w:rPr>
                <w:sz w:val="28"/>
                <w:szCs w:val="28"/>
              </w:rPr>
              <w:t xml:space="preserve">З</w:t>
            </w:r>
            <w:r>
              <w:rPr>
                <w:sz w:val="28"/>
                <w:szCs w:val="28"/>
                <w:vertAlign w:val="subscript"/>
              </w:rPr>
              <w:t xml:space="preserve">п</w:t>
            </w:r>
            <w:r>
              <w:rPr>
                <w:sz w:val="28"/>
                <w:szCs w:val="28"/>
              </w:rPr>
              <w:t xml:space="preserve"> * 100%</w:t>
            </w:r>
            <w:r/>
          </w:p>
        </w:tc>
        <w:tc>
          <w:tcPr>
            <w:tcW w:w="502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до 01 февраля</w:t>
            </w:r>
            <w:r/>
          </w:p>
        </w:tc>
        <w:tc>
          <w:tcPr>
            <w:tcW w:w="731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Отдел развития коммунальной инфраструктуры и ценообразования Управления ЖКХ администрации</w:t>
            </w:r>
            <w:r/>
          </w:p>
        </w:tc>
        <w:tc>
          <w:tcPr>
            <w:tcW w:w="320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/>
            <w:r/>
          </w:p>
        </w:tc>
      </w:tr>
      <w:tr>
        <w:tblPrEx/>
        <w:trPr/>
        <w:tc>
          <w:tcPr>
            <w:tcW w:w="227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3</w:t>
            </w:r>
            <w:r/>
          </w:p>
        </w:tc>
        <w:tc>
          <w:tcPr>
            <w:tcW w:w="868" w:type="pct"/>
            <w:textDirection w:val="lrTb"/>
            <w:noWrap w:val="false"/>
          </w:tcPr>
          <w:p>
            <w:pPr>
              <w:spacing w:line="240" w:lineRule="exact"/>
              <w:widowControl w:val="off"/>
            </w:pPr>
            <w:r>
              <w:rPr>
                <w:spacing w:val="-6"/>
              </w:rPr>
              <w:t xml:space="preserve">Количество заключенных энергосервисных контрактов</w:t>
            </w:r>
            <w:r/>
          </w:p>
        </w:tc>
        <w:tc>
          <w:tcPr>
            <w:tcW w:w="548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шт.</w:t>
            </w:r>
            <w:r/>
          </w:p>
        </w:tc>
        <w:tc>
          <w:tcPr>
            <w:tcW w:w="548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ежегодно</w:t>
            </w:r>
            <w:r/>
          </w:p>
        </w:tc>
        <w:tc>
          <w:tcPr>
            <w:tcW w:w="1255" w:type="pct"/>
            <w:textDirection w:val="lrTb"/>
            <w:noWrap w:val="false"/>
          </w:tcPr>
          <w:p>
            <w:pPr>
              <w:pStyle w:val="733"/>
              <w:ind w:left="80"/>
              <w:jc w:val="both"/>
              <w:spacing w:before="0" w:beforeAutospacing="0" w:after="0" w:afterAutospacing="0" w:line="240" w:lineRule="exact"/>
              <w:tabs>
                <w:tab w:val="left" w:pos="400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</w:pPr>
            <w:r>
              <w:t xml:space="preserve">путем сопоставления фактически достигнутых значений целевых показателей (индикаторов) программы и их плановых значений, по формуле:</w:t>
            </w:r>
            <w:r/>
          </w:p>
          <w:p>
            <w:pPr>
              <w:jc w:val="center"/>
              <w:spacing w:line="240" w:lineRule="exact"/>
              <w:widowControl w:val="off"/>
            </w:pP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  <w:vertAlign w:val="subscript"/>
              </w:rPr>
              <w:t xml:space="preserve">д</w:t>
            </w:r>
            <w:r>
              <w:rPr>
                <w:sz w:val="28"/>
                <w:szCs w:val="28"/>
                <w:vertAlign w:val="subscript"/>
                <w:lang w:val="en-US"/>
              </w:rPr>
              <w:t xml:space="preserve">n</w:t>
            </w:r>
            <w:r>
              <w:rPr>
                <w:sz w:val="28"/>
                <w:szCs w:val="28"/>
              </w:rPr>
              <w:t xml:space="preserve"> = </w:t>
            </w:r>
            <w:r>
              <w:rPr>
                <w:sz w:val="28"/>
                <w:szCs w:val="28"/>
              </w:rPr>
              <w:t xml:space="preserve">З</w:t>
            </w:r>
            <w:r>
              <w:rPr>
                <w:sz w:val="28"/>
                <w:szCs w:val="28"/>
                <w:vertAlign w:val="subscript"/>
              </w:rPr>
              <w:t xml:space="preserve">ф</w:t>
            </w:r>
            <w:r>
              <w:rPr>
                <w:sz w:val="28"/>
                <w:szCs w:val="28"/>
              </w:rPr>
              <w:t xml:space="preserve"> /</w:t>
            </w:r>
            <w:r>
              <w:rPr>
                <w:sz w:val="28"/>
                <w:szCs w:val="28"/>
              </w:rPr>
              <w:t xml:space="preserve">З</w:t>
            </w:r>
            <w:r>
              <w:rPr>
                <w:sz w:val="28"/>
                <w:szCs w:val="28"/>
                <w:vertAlign w:val="subscript"/>
              </w:rPr>
              <w:t xml:space="preserve">п</w:t>
            </w:r>
            <w:r>
              <w:rPr>
                <w:sz w:val="28"/>
                <w:szCs w:val="28"/>
              </w:rPr>
              <w:t xml:space="preserve"> * 100%</w:t>
            </w:r>
            <w:r/>
          </w:p>
        </w:tc>
        <w:tc>
          <w:tcPr>
            <w:tcW w:w="502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до 01 февраля</w:t>
            </w:r>
            <w:r/>
          </w:p>
        </w:tc>
        <w:tc>
          <w:tcPr>
            <w:tcW w:w="731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Отдел развития коммунальной инфраструктуры и ценообразования Управления ЖКХ администрации</w:t>
            </w:r>
            <w:r/>
          </w:p>
        </w:tc>
        <w:tc>
          <w:tcPr>
            <w:tcW w:w="320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/>
            <w:r/>
          </w:p>
        </w:tc>
      </w:tr>
      <w:tr>
        <w:tblPrEx/>
        <w:trPr>
          <w:trHeight w:val="26"/>
        </w:trPr>
        <w:tc>
          <w:tcPr>
            <w:tcW w:w="227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4</w:t>
            </w:r>
            <w:r/>
          </w:p>
        </w:tc>
        <w:tc>
          <w:tcPr>
            <w:tcW w:w="868" w:type="pct"/>
            <w:textDirection w:val="lrTb"/>
            <w:noWrap w:val="false"/>
          </w:tcPr>
          <w:p>
            <w:pPr>
              <w:spacing w:line="240" w:lineRule="exact"/>
              <w:widowControl w:val="off"/>
              <w:rPr>
                <w:spacing w:val="-6"/>
              </w:rPr>
            </w:pPr>
            <w:r>
              <w:t xml:space="preserve">Количество опубликованных и размещенных на сайтах информационных материалов по пропаганде</w:t>
            </w:r>
            <w:r>
              <w:rPr>
                <w:spacing w:val="-6"/>
              </w:rPr>
            </w:r>
          </w:p>
        </w:tc>
        <w:tc>
          <w:tcPr>
            <w:tcW w:w="548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шт.</w:t>
            </w:r>
            <w:r/>
          </w:p>
        </w:tc>
        <w:tc>
          <w:tcPr>
            <w:tcW w:w="548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ежегодно</w:t>
            </w:r>
            <w:r/>
          </w:p>
        </w:tc>
        <w:tc>
          <w:tcPr>
            <w:tcW w:w="1255" w:type="pct"/>
            <w:textDirection w:val="lrTb"/>
            <w:noWrap w:val="false"/>
          </w:tcPr>
          <w:p>
            <w:pPr>
              <w:pStyle w:val="733"/>
              <w:ind w:left="80"/>
              <w:jc w:val="both"/>
              <w:spacing w:before="0" w:beforeAutospacing="0" w:after="0" w:afterAutospacing="0" w:line="240" w:lineRule="exact"/>
              <w:tabs>
                <w:tab w:val="left" w:pos="400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</w:pPr>
            <w:r>
              <w:t xml:space="preserve">путем сопоставления фактически достигнутых значений целевых показателей (индикаторов) программы и их плановых значений, по формуле:</w:t>
            </w:r>
            <w:r/>
          </w:p>
          <w:p>
            <w:pPr>
              <w:jc w:val="center"/>
              <w:spacing w:line="240" w:lineRule="exact"/>
              <w:widowControl w:val="off"/>
            </w:pP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  <w:vertAlign w:val="subscript"/>
              </w:rPr>
              <w:t xml:space="preserve">д</w:t>
            </w:r>
            <w:r>
              <w:rPr>
                <w:sz w:val="28"/>
                <w:szCs w:val="28"/>
                <w:vertAlign w:val="subscript"/>
                <w:lang w:val="en-US"/>
              </w:rPr>
              <w:t xml:space="preserve">n</w:t>
            </w:r>
            <w:r>
              <w:rPr>
                <w:sz w:val="28"/>
                <w:szCs w:val="28"/>
              </w:rPr>
              <w:t xml:space="preserve"> = </w:t>
            </w:r>
            <w:r>
              <w:rPr>
                <w:sz w:val="28"/>
                <w:szCs w:val="28"/>
              </w:rPr>
              <w:t xml:space="preserve">З</w:t>
            </w:r>
            <w:r>
              <w:rPr>
                <w:sz w:val="28"/>
                <w:szCs w:val="28"/>
                <w:vertAlign w:val="subscript"/>
              </w:rPr>
              <w:t xml:space="preserve">ф</w:t>
            </w:r>
            <w:r>
              <w:rPr>
                <w:sz w:val="28"/>
                <w:szCs w:val="28"/>
              </w:rPr>
              <w:t xml:space="preserve"> /</w:t>
            </w:r>
            <w:r>
              <w:rPr>
                <w:sz w:val="28"/>
                <w:szCs w:val="28"/>
              </w:rPr>
              <w:t xml:space="preserve">З</w:t>
            </w:r>
            <w:r>
              <w:rPr>
                <w:sz w:val="28"/>
                <w:szCs w:val="28"/>
                <w:vertAlign w:val="subscript"/>
              </w:rPr>
              <w:t xml:space="preserve">п</w:t>
            </w:r>
            <w:r>
              <w:rPr>
                <w:sz w:val="28"/>
                <w:szCs w:val="28"/>
              </w:rPr>
              <w:t xml:space="preserve"> * 100%</w:t>
            </w:r>
            <w:r/>
          </w:p>
        </w:tc>
        <w:tc>
          <w:tcPr>
            <w:tcW w:w="502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до 01 февраля</w:t>
            </w:r>
            <w:r/>
          </w:p>
        </w:tc>
        <w:tc>
          <w:tcPr>
            <w:tcW w:w="731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>
              <w:t xml:space="preserve">Отдел развития коммунальной инфраструктуры и ценообразования Управления ЖКХ администрации</w:t>
            </w:r>
            <w:r/>
          </w:p>
        </w:tc>
        <w:tc>
          <w:tcPr>
            <w:tcW w:w="320" w:type="pct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</w:pPr>
            <w:r/>
            <w:r/>
          </w:p>
        </w:tc>
      </w:tr>
    </w:tbl>
    <w:p>
      <w:pPr>
        <w:ind w:firstLine="540"/>
        <w:jc w:val="both"/>
        <w:widowControl w:val="off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  <w:sectPr>
          <w:footnotePr/>
          <w:endnotePr/>
          <w:type w:val="nextPage"/>
          <w:pgSz w:w="16838" w:h="11906" w:orient="landscape"/>
          <w:pgMar w:top="1701" w:right="397" w:bottom="851" w:left="397" w:header="709" w:footer="539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widowControl w:val="off"/>
        <w:rPr>
          <w:i/>
          <w:sz w:val="28"/>
          <w:szCs w:val="28"/>
        </w:rPr>
      </w:pPr>
      <w:r>
        <w:rPr>
          <w:b/>
          <w:color w:val="000000"/>
          <w:spacing w:val="-14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Приложение 3</w:t>
      </w:r>
      <w:r>
        <w:rPr>
          <w:i/>
          <w:sz w:val="28"/>
          <w:szCs w:val="28"/>
        </w:rPr>
      </w:r>
    </w:p>
    <w:p>
      <w:pPr>
        <w:jc w:val="right"/>
        <w:widowControl w:val="off"/>
        <w:rPr>
          <w:bCs/>
          <w:i/>
          <w:sz w:val="28"/>
          <w:szCs w:val="28"/>
          <w:highlight w:val="none"/>
        </w:rPr>
      </w:pPr>
      <w:r>
        <w:rPr>
          <w:i/>
          <w:sz w:val="28"/>
          <w:szCs w:val="28"/>
        </w:rPr>
        <w:t xml:space="preserve">к Программе</w:t>
      </w:r>
      <w:r>
        <w:rPr>
          <w:bCs/>
          <w:i/>
          <w:sz w:val="28"/>
          <w:szCs w:val="28"/>
          <w:highlight w:val="none"/>
        </w:rPr>
      </w:r>
    </w:p>
    <w:p>
      <w:pPr>
        <w:jc w:val="right"/>
        <w:widowControl w:val="off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</w:r>
      <w:r>
        <w:rPr>
          <w:bCs/>
          <w:i/>
          <w:sz w:val="28"/>
          <w:szCs w:val="28"/>
        </w:rPr>
      </w:r>
    </w:p>
    <w:p>
      <w:pPr>
        <w:jc w:val="center"/>
        <w:widowControl w:val="off"/>
        <w:rPr>
          <w:bCs w:val="0"/>
          <w:i w:val="0"/>
        </w:rPr>
      </w:pPr>
      <w:r>
        <w:rPr>
          <w:bCs/>
          <w:i w:val="0"/>
          <w:iCs w:val="0"/>
          <w:sz w:val="28"/>
          <w:szCs w:val="28"/>
        </w:rPr>
        <w:t xml:space="preserve">План</w:t>
      </w:r>
      <w:r>
        <w:rPr>
          <w:bCs/>
          <w:i w:val="0"/>
          <w:iCs w:val="0"/>
          <w:sz w:val="28"/>
          <w:szCs w:val="28"/>
        </w:rPr>
      </w:r>
    </w:p>
    <w:p>
      <w:pPr>
        <w:jc w:val="center"/>
        <w:widowControl w:val="off"/>
        <w:rPr>
          <w:bCs w:val="0"/>
          <w:i w:val="0"/>
          <w:sz w:val="28"/>
          <w:szCs w:val="28"/>
        </w:rPr>
      </w:pPr>
      <w:r>
        <w:rPr>
          <w:bCs/>
          <w:i w:val="0"/>
          <w:iCs w:val="0"/>
          <w:sz w:val="28"/>
          <w:szCs w:val="28"/>
        </w:rPr>
        <w:t xml:space="preserve">реализации муниципальной программы «Развитие коммунальной и инженерной инфраструктуры и повышение энергетической эффективности во Всеволожском муниципальном районе»</w:t>
      </w:r>
      <w:r>
        <w:rPr>
          <w:bCs/>
          <w:i w:val="0"/>
          <w:iCs w:val="0"/>
          <w:sz w:val="28"/>
          <w:szCs w:val="28"/>
        </w:rPr>
      </w:r>
      <w:r>
        <w:rPr>
          <w:bCs/>
          <w:i w:val="0"/>
          <w:iCs w:val="0"/>
          <w:sz w:val="28"/>
          <w:szCs w:val="28"/>
        </w:rPr>
      </w:r>
    </w:p>
    <w:p>
      <w:pPr>
        <w:jc w:val="right"/>
        <w:widowControl w:val="off"/>
        <w:rPr>
          <w:bCs/>
          <w:i/>
          <w:sz w:val="28"/>
          <w:szCs w:val="28"/>
        </w:rPr>
      </w:pPr>
      <w:r>
        <w:rPr>
          <w:i/>
          <w:sz w:val="28"/>
          <w:szCs w:val="28"/>
          <w:highlight w:val="none"/>
        </w:rPr>
      </w:r>
      <w:r>
        <w:rPr>
          <w:i/>
          <w:sz w:val="28"/>
          <w:szCs w:val="28"/>
          <w:highlight w:val="none"/>
        </w:rPr>
      </w:r>
    </w:p>
    <w:tbl>
      <w:tblPr>
        <w:tblW w:w="15102" w:type="dxa"/>
        <w:tblInd w:w="67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3681"/>
        <w:gridCol w:w="2760"/>
        <w:gridCol w:w="1276"/>
        <w:gridCol w:w="1701"/>
        <w:gridCol w:w="783"/>
        <w:gridCol w:w="1627"/>
        <w:gridCol w:w="1701"/>
        <w:gridCol w:w="157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муниципальной программы, подпрограммы муниципальной программы, структурного элемента муниципальной программы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Ответственный исполнитель, соисполнитель, участник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Годы реализации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Оценка расходов (тыс. руб., в ценах соответствующих лет)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4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Федеральный бюджет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Областной бюджет Ленинградской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Местные бюджеты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Прочие источники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  <w:lang w:eastAsia="ru-RU"/>
              </w:rPr>
              <w:t xml:space="preserve">«Развитие коммунальной и инженерной инфраструктуры и повышение энергетической эффективности во Всеволожском муниципальном районе»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0" w:type="dxa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и комитет по образованию Всеволожского муниципального района Ленинградской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17 921 45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17 921 450,00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18 557 740,00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18 557 740,00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0" w:type="dxa"/>
            <w:vMerge w:val="restar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 «ЕСЗ» ВМР ЛО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24 030 480,00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24 030 480,00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19 700 0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19 700 0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19 700 0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19 700 0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99 909 670,00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99 909 670,00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05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Процессная часть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68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«Проектирование и ремонт ИТП с установкой узлов учета тепловой энергии»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760" w:type="dxa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комитет по образованию Всеволожского муниципального района Ленинградской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17 921 450,00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17 921 450,00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right w:val="single" w:color="000000" w:sz="4" w:space="0"/>
            </w:tcBorders>
            <w:tcW w:w="368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18 557 740,00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18 557 740,00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76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368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7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МКУ «ЕСЗ» ВМР ЛО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24 030 480,00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24 030 480,00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6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368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76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6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99 909 670,00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99 909 670,00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35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68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  <w:lang w:eastAsia="ru-RU"/>
              </w:rPr>
              <w:t xml:space="preserve">Привлечение внебюджетных источников финансирования и пропаганда энергосбережения»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7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комитет по образованию Всеволожского муниципального района Ленинградской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3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368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3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368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7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МКУ «ЕСЗ» ВМР ЛО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35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368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76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3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7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4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4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4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4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4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4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4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4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4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4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4"/>
        <w:jc w:val="lef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widowControl w:val="off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Приложение 4</w:t>
      </w:r>
      <w:r>
        <w:rPr>
          <w:i/>
          <w:sz w:val="28"/>
          <w:szCs w:val="28"/>
        </w:rPr>
      </w:r>
    </w:p>
    <w:p>
      <w:pPr>
        <w:jc w:val="right"/>
        <w:widowControl w:val="off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 Программе</w:t>
      </w:r>
      <w:r>
        <w:rPr>
          <w:i/>
          <w:sz w:val="28"/>
          <w:szCs w:val="28"/>
        </w:rPr>
      </w:r>
    </w:p>
    <w:p>
      <w:pPr>
        <w:pStyle w:val="7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pacing w:val="-6"/>
          <w:sz w:val="28"/>
          <w:szCs w:val="28"/>
        </w:rPr>
        <w:t xml:space="preserve">Развитие коммунальной и инженерной инфраструктуры </w:t>
      </w:r>
      <w:r>
        <w:rPr>
          <w:spacing w:val="-6"/>
          <w:sz w:val="28"/>
          <w:szCs w:val="28"/>
        </w:rPr>
        <w:t xml:space="preserve">и </w:t>
      </w:r>
      <w:r>
        <w:rPr>
          <w:spacing w:val="-6"/>
          <w:sz w:val="28"/>
          <w:szCs w:val="28"/>
        </w:rPr>
        <w:t xml:space="preserve">повышение энергетической эффективности</w:t>
      </w:r>
      <w:r>
        <w:rPr>
          <w:spacing w:val="-6"/>
        </w:rPr>
        <w:t xml:space="preserve"> </w:t>
      </w:r>
      <w:r>
        <w:rPr>
          <w:spacing w:val="-6"/>
        </w:rPr>
        <w:br/>
      </w:r>
      <w:r>
        <w:rPr>
          <w:spacing w:val="-6"/>
          <w:sz w:val="28"/>
          <w:szCs w:val="28"/>
        </w:rPr>
        <w:t xml:space="preserve">во Всеволожском муниципальном районе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</w:p>
    <w:p>
      <w:pPr>
        <w:pStyle w:val="7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549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801"/>
        <w:gridCol w:w="1985"/>
        <w:gridCol w:w="1559"/>
        <w:gridCol w:w="1418"/>
        <w:gridCol w:w="1726"/>
        <w:gridCol w:w="597"/>
        <w:gridCol w:w="1530"/>
        <w:gridCol w:w="1533"/>
        <w:gridCol w:w="709"/>
        <w:gridCol w:w="2092"/>
      </w:tblGrid>
      <w:tr>
        <w:tblPrEx/>
        <w:trPr>
          <w:jc w:val="center"/>
          <w:trHeight w:val="527"/>
        </w:trPr>
        <w:tc>
          <w:tcPr>
            <w:shd w:val="clear" w:color="ffffff" w:fill="ffffff"/>
            <w:tcW w:w="548" w:type="dxa"/>
            <w:vMerge w:val="restart"/>
            <w:textDirection w:val="lrTb"/>
            <w:noWrap w:val="false"/>
          </w:tcPr>
          <w:p>
            <w:pPr>
              <w:jc w:val="both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restart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муниципальной программы, подпрограммы муниципальной программы, структурного элемента муниципальной программы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Ответственный исполнитель, соисполнитель, участник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Годы реализации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vMerge w:val="restart"/>
            <w:textDirection w:val="lrTb"/>
            <w:noWrap w:val="false"/>
          </w:tcPr>
          <w:p>
            <w:pPr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Ожидаемый результат реализации структурного элемента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5"/>
            <w:shd w:val="clear" w:color="ffffff" w:fill="ffffff"/>
            <w:tcW w:w="6095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Оценка расходов (руб., в ценах соответствующих лет)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Ответственный за реализацию структурного элемента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155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jc w:val="both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vMerge w:val="continue"/>
            <w:textDirection w:val="lrTb"/>
            <w:noWrap w:val="false"/>
          </w:tcPr>
          <w:p>
            <w:pPr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Всего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Федеральный бюджет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0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Областной бюджет Ленинградской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Местные бюджеты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Прочие источники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textDirection w:val="lrTb"/>
            <w:noWrap w:val="false"/>
          </w:tcPr>
          <w:p>
            <w:pPr>
              <w:jc w:val="both"/>
              <w:spacing w:before="220"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548" w:type="dxa"/>
            <w:vMerge w:val="restart"/>
            <w:textDirection w:val="lrTb"/>
            <w:noWrap w:val="false"/>
          </w:tcPr>
          <w:p>
            <w:pPr>
              <w:jc w:val="both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  <w:lang w:eastAsia="ru-RU"/>
              </w:rPr>
              <w:t xml:space="preserve">Развитие коммунальной и инженерной инфраструктуры и повышение энергетической эффективности во Всеволожском муниципальном районе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restart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комитет по образованию Всеволожского муниципального района Ленинградской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17 921 450,00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0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17 921 450,00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restart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Начальник отдела развития коммунальной ин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фраструктуры и ценообразования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jc w:val="both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18 557 740,00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0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18 557 740,00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276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jc w:val="both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restart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МКУ «ЕСЗ» ВМР ЛО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24 030 480,00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0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24 030 480,00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630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jc w:val="both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0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1350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jc w:val="both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0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225"/>
        </w:trPr>
        <w:tc>
          <w:tcPr>
            <w:shd w:val="clear" w:color="ffffff" w:fill="ffffff"/>
            <w:tcW w:w="548" w:type="dxa"/>
            <w:textDirection w:val="lrTb"/>
            <w:noWrap w:val="false"/>
          </w:tcPr>
          <w:p>
            <w:pPr>
              <w:jc w:val="both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gridSpan w:val="4"/>
            <w:shd w:val="clear" w:color="ffffff" w:fill="ffffff"/>
            <w:tcBorders>
              <w:right w:val="single" w:color="000000" w:sz="4" w:space="0"/>
            </w:tcBorders>
            <w:tcW w:w="676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99 909 670,00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99 909 670,00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840"/>
        </w:trPr>
        <w:tc>
          <w:tcPr>
            <w:shd w:val="clear" w:color="ffffff" w:fill="ffffff"/>
            <w:tcW w:w="548" w:type="dxa"/>
            <w:textDirection w:val="lrTb"/>
            <w:noWrap w:val="false"/>
          </w:tcPr>
          <w:p>
            <w:pPr>
              <w:jc w:val="both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gridSpan w:val="9"/>
            <w:shd w:val="clear" w:color="ffffff" w:fill="ffffff"/>
            <w:tcBorders>
              <w:right w:val="single" w:color="000000" w:sz="4" w:space="0"/>
            </w:tcBorders>
            <w:tcW w:w="1285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Процессная часть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092" w:type="dxa"/>
            <w:vMerge w:val="restart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611"/>
        </w:trPr>
        <w:tc>
          <w:tcPr>
            <w:shd w:val="clear" w:color="ffffff" w:fill="ffffff"/>
            <w:tcBorders>
              <w:right w:val="none" w:color="000000" w:sz="4" w:space="0"/>
            </w:tcBorders>
            <w:tcW w:w="548" w:type="dxa"/>
            <w:vMerge w:val="restart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restart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Комплекс процессных мероприятий «Проектирование и ремонт ИТП с установкой узлов учета»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restart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комитет по образованию Всеволожского муниципального района Ленинградской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17 921 450,00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17 921 450,00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restart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Начальник отдела развития коммунальной инфраструктуры и ценообразования и председатель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комитета по образованию Всеволожского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495"/>
        </w:trPr>
        <w:tc>
          <w:tcPr>
            <w:shd w:val="clear" w:color="ffffff" w:fill="ffffff"/>
            <w:tcBorders>
              <w:right w:val="none" w:color="000000" w:sz="4" w:space="0"/>
            </w:tcBorders>
            <w:tcW w:w="548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18 557 740,00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18 557 740,00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Calibri" w:hAnsi="Calibri" w:eastAsia="Times New Roman" w:cs="Calibri"/>
                <w:lang w:eastAsia="ru-RU"/>
              </w:rPr>
            </w:pPr>
            <w:r>
              <w:rPr>
                <w:rFonts w:ascii="Calibri" w:hAnsi="Calibri" w:eastAsia="Times New Roman" w:cs="Calibri"/>
                <w:lang w:eastAsia="ru-RU"/>
              </w:rPr>
            </w:r>
            <w:r>
              <w:rPr>
                <w:rFonts w:ascii="Calibri" w:hAnsi="Calibri" w:eastAsia="Times New Roman" w:cs="Calibri"/>
                <w:lang w:eastAsia="ru-RU"/>
              </w:rPr>
            </w:r>
            <w:r>
              <w:rPr>
                <w:rFonts w:ascii="Calibri" w:hAnsi="Calibri" w:eastAsia="Times New Roman" w:cs="Calibri"/>
                <w:lang w:eastAsia="ru-RU"/>
              </w:rPr>
            </w:r>
          </w:p>
        </w:tc>
      </w:tr>
      <w:tr>
        <w:tblPrEx/>
        <w:trPr>
          <w:jc w:val="center"/>
          <w:trHeight w:val="450"/>
        </w:trPr>
        <w:tc>
          <w:tcPr>
            <w:shd w:val="clear" w:color="ffffff" w:fill="ffffff"/>
            <w:tcBorders>
              <w:right w:val="none" w:color="000000" w:sz="4" w:space="0"/>
            </w:tcBorders>
            <w:tcW w:w="548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restart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МКУ «ЕСЗ» ВМР ЛО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24 030 480,00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24 030 480,00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Начальник отдела развития коммунальной инфраструктуры и ценообразования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МКУ «ЕСЗ» ВМР 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ffffff" w:fill="ffffff"/>
            <w:tcBorders>
              <w:right w:val="none" w:color="000000" w:sz="4" w:space="0"/>
            </w:tcBorders>
            <w:tcW w:w="548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Calibri" w:hAnsi="Calibri" w:eastAsia="Times New Roman" w:cs="Calibri"/>
                <w:lang w:eastAsia="ru-RU"/>
              </w:rPr>
            </w:pPr>
            <w:r>
              <w:rPr>
                <w:rFonts w:ascii="Calibri" w:hAnsi="Calibri" w:eastAsia="Times New Roman" w:cs="Calibri"/>
                <w:lang w:eastAsia="ru-RU"/>
              </w:rPr>
            </w:r>
            <w:r>
              <w:rPr>
                <w:rFonts w:ascii="Calibri" w:hAnsi="Calibri" w:eastAsia="Times New Roman" w:cs="Calibri"/>
                <w:lang w:eastAsia="ru-RU"/>
              </w:rPr>
            </w:r>
            <w:r>
              <w:rPr>
                <w:rFonts w:ascii="Calibri" w:hAnsi="Calibri" w:eastAsia="Times New Roman" w:cs="Calibri"/>
                <w:lang w:eastAsia="ru-RU"/>
              </w:rPr>
            </w:r>
          </w:p>
        </w:tc>
      </w:tr>
      <w:tr>
        <w:tblPrEx/>
        <w:trPr>
          <w:jc w:val="center"/>
          <w:trHeight w:val="761"/>
        </w:trPr>
        <w:tc>
          <w:tcPr>
            <w:shd w:val="clear" w:color="ffffff" w:fill="ffffff"/>
            <w:tcBorders>
              <w:bottom w:val="single" w:color="000000" w:sz="4" w:space="0"/>
              <w:right w:val="none" w:color="000000" w:sz="4" w:space="0"/>
            </w:tcBorders>
            <w:tcW w:w="548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Calibri" w:hAnsi="Calibri" w:eastAsia="Times New Roman" w:cs="Calibri"/>
                <w:lang w:eastAsia="ru-RU"/>
              </w:rPr>
            </w:pPr>
            <w:r>
              <w:rPr>
                <w:rFonts w:ascii="Calibri" w:hAnsi="Calibri" w:eastAsia="Times New Roman" w:cs="Calibri"/>
                <w:lang w:eastAsia="ru-RU"/>
              </w:rPr>
            </w:r>
            <w:r>
              <w:rPr>
                <w:rFonts w:ascii="Calibri" w:hAnsi="Calibri" w:eastAsia="Times New Roman" w:cs="Calibri"/>
                <w:lang w:eastAsia="ru-RU"/>
              </w:rPr>
            </w:r>
            <w:r>
              <w:rPr>
                <w:rFonts w:ascii="Calibri" w:hAnsi="Calibri" w:eastAsia="Times New Roman" w:cs="Calibri"/>
                <w:lang w:eastAsia="ru-RU"/>
              </w:rPr>
            </w:r>
          </w:p>
        </w:tc>
      </w:tr>
      <w:tr>
        <w:tblPrEx/>
        <w:trPr>
          <w:jc w:val="center"/>
          <w:trHeight w:val="371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Проектирование ИТП с узлом учета тепловой энергии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Отдел развития коммунальной инфраструктуры и ценообразования Управления ЖКХ и комитет по образованию Всеволожского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 виду отсутствия финансирования на данный год мероприятия не запланированы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2092" w:type="dxa"/>
            <w:vMerge w:val="restart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55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Проектирование 6 ИТП с УУТЭ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3 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437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740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437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740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555"/>
        </w:trPr>
        <w:tc>
          <w:tcPr>
            <w:shd w:val="clear" w:color="ffffff" w:fill="ffffff"/>
            <w:tcBorders>
              <w:top w:val="single" w:color="000000" w:sz="4" w:space="0"/>
            </w:tcBorders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198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МКУ «ЕСЗ» ВМР ЛО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 виду отсутствия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финансирования на данный год мероприятия не запланированы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55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 виду отсутствия финансирования на данный год мероприятия не запланированы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55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 виду отсутствия финансирования на данный год мероприятия не запланированы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2400"/>
        </w:trPr>
        <w:tc>
          <w:tcPr>
            <w:shd w:val="clear" w:color="ffffff" w:fill="ffffff"/>
            <w:tcW w:w="54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Ремонт ИТП с установкой узла учета тепловой энергии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комитет по образованию Всеволожского муниципального района Ленинградской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Ремонт 3 ИТП УУТП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17 921 450,00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17 921 450,00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49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Ремонт 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ИТП</w:t>
            </w:r>
            <w:r>
              <w:rPr>
                <w:rFonts w:ascii="Calibri" w:hAnsi="Calibri" w:eastAsia="Times New Roman" w:cs="Calibri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УУТП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15 120 000,00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15 120 000,00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52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МКУ «ЕСЗ» ВМР ЛО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Ремонт 3 ИТП УУТП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24 030 480,00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24 030 480,00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461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Ремонт 3 ИТП УУТП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550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Ремонт 3 ИТП УУТП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417"/>
        </w:trPr>
        <w:tc>
          <w:tcPr>
            <w:shd w:val="clear" w:color="ffffff" w:fill="ffffff"/>
            <w:tcW w:w="54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«Привлечение внебюджетных источников финансирования и пропаганда энергосбережения»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комитет по образованию Всеволожского муниципального района Ленинградской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61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МКУ «ЕСЗ» ВМР ЛО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301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392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3213"/>
        </w:trPr>
        <w:tc>
          <w:tcPr>
            <w:shd w:val="clear" w:color="ffffff" w:fill="ffffff"/>
            <w:tcW w:w="54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Заключение энергосервисных контрактов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Отдел развития коммунальной инфраструктуры и ценообразования Управления ЖКХ и комитет по образованию Всеволожского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Заключение 1 энергосервисного контракта по модернизации системы наружного освещения 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092" w:type="dxa"/>
            <w:vMerge w:val="restart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46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Заключение энергосервисных контрактов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по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модернизации системы наружного освещения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не предусмотрено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360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МКУ «ЕСЗ» ВМР ЛО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Заключение энергосервисных контрактов по модернизации системы наружного освещения не предусмотрено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270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Заключение 1 энергосервисного контракта по модернизации систем наружного освещения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Заключение 1 энергосервисного контракта по модернизации систем наружного освещения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558"/>
        </w:trPr>
        <w:tc>
          <w:tcPr>
            <w:shd w:val="clear" w:color="ffffff" w:fill="ffffff"/>
            <w:tcW w:w="54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Информационное обеспечение и пропаганда эффективного использования энергетических ресурсов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Отдел развития коммунальной инфраструктуры и ценообразования Управления ЖКХ и комитет по образованию Всеволожского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Размещение 2 информационных материалов по пропаганде на сайтах Интернет-ресурсов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43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Размещение 2 информационных материалов по пропаганде на сайтах Интернет-ресурсов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49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МКУ «ЕСЗ» ВМР ЛО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Размещение 2 информационных материалов по пропаганде на сайтах Интернет-ресурсов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28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Размещение 2 информационных материалов по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пропаганде на сайтах Интернет-ресурсов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22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Размещение 2 информационных материалов по пропаганде на сайтах Интернет-ресурсов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bottom w:val="none" w:color="000000" w:sz="4" w:space="0"/>
            </w:tcBorders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570"/>
        </w:trPr>
        <w:tc>
          <w:tcPr>
            <w:shd w:val="clear" w:color="ffffff" w:fill="ffffff"/>
            <w:tcW w:w="54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  <w:lang w:eastAsia="ru-RU"/>
              </w:rPr>
              <w:t xml:space="preserve">Развитие коммунальной и инженерной инфраструктуры и повышение энергетической эффективности во Всеволожском муниципальном районе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restart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Отдел развития коммунальной инфраструктуры и ценообразования Управления ЖКХ и комитет по образованию Всеволожского муниципального района Ленинградской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17 921 450,00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0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17 921 450,00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092" w:type="dxa"/>
            <w:vMerge w:val="restart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510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18 557 740,00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0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18 557 740,00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660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restart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Управления ЖКХ и МКУ «ЕСЗ» ВМР ЛО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24 030 480,00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0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24 030 480,00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82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0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1020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7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0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225"/>
        </w:trPr>
        <w:tc>
          <w:tcPr>
            <w:shd w:val="clear" w:color="ffffff" w:fill="ffffff"/>
            <w:tcW w:w="54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3"/>
            <w:shd w:val="clear" w:color="ffffff" w:fill="ffffff"/>
            <w:tcW w:w="534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99 909 670,00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99 909 670,00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yellow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092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225"/>
        </w:trPr>
        <w:tc>
          <w:tcPr>
            <w:shd w:val="clear" w:color="ffffff" w:fill="ffffff"/>
            <w:tcW w:w="54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ffffff" w:fill="ffffff"/>
            <w:tcW w:w="378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администрации Всеволожского муниципального района Ленинградской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Начальник отдела развития коммунальной инфраструктуры и ценообразования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22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ffffff" w:fill="ffffff"/>
            <w:tcW w:w="378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276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ffffff" w:fill="ffffff"/>
            <w:tcBorders>
              <w:top w:val="none" w:color="000000" w:sz="4" w:space="0"/>
              <w:bottom w:val="none" w:color="000000" w:sz="4" w:space="0"/>
            </w:tcBorders>
            <w:tcW w:w="378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22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ffffff" w:fill="ffffff"/>
            <w:tcBorders>
              <w:top w:val="none" w:color="000000" w:sz="4" w:space="0"/>
              <w:bottom w:val="none" w:color="000000" w:sz="4" w:space="0"/>
            </w:tcBorders>
            <w:tcW w:w="3786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22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ffffff" w:fill="ffffff"/>
            <w:tcBorders>
              <w:top w:val="none" w:color="000000" w:sz="4" w:space="0"/>
            </w:tcBorders>
            <w:tcW w:w="3786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543"/>
        </w:trPr>
        <w:tc>
          <w:tcPr>
            <w:shd w:val="clear" w:color="ffffff" w:fill="ffffff"/>
            <w:tcW w:w="54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ffffff" w:fill="ffffff"/>
            <w:tcW w:w="378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Итого: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Комитет по образованию Всеволожского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17 921 450,00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17 921 450,00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0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Председатель комитета по образованию Всеволожского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693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378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18 557 740,00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18 557 740,00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225"/>
        </w:trPr>
        <w:tc>
          <w:tcPr>
            <w:shd w:val="clear" w:color="ffffff" w:fill="ffffff"/>
            <w:tcW w:w="54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ffffff" w:fill="ffffff"/>
            <w:tcBorders>
              <w:top w:val="none" w:color="000000" w:sz="4" w:space="0"/>
              <w:right w:val="single" w:color="000000" w:sz="4" w:space="0"/>
            </w:tcBorders>
            <w:tcW w:w="378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МКУ «ЕСЗ» ВМР ЛО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24 030 480,00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24 030 480,00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092" w:type="dxa"/>
            <w:vMerge w:val="restart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Директор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МКУ «ЕСЗ» ВМР 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22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ffffff" w:fill="ffffff"/>
            <w:tcBorders>
              <w:right w:val="single" w:color="000000" w:sz="4" w:space="0"/>
            </w:tcBorders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6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jc w:val="center"/>
          <w:trHeight w:val="225"/>
        </w:trPr>
        <w:tc>
          <w:tcPr>
            <w:shd w:val="clear" w:color="ffffff" w:fill="ffffff"/>
            <w:tcW w:w="548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ffffff" w:fill="ffffff"/>
            <w:tcBorders>
              <w:right w:val="single" w:color="000000" w:sz="4" w:space="0"/>
            </w:tcBorders>
            <w:tcW w:w="1801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2028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418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726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W w:w="597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0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1533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19 700 000,00</w:t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yellow"/>
                <w:lang w:eastAsia="ru-RU"/>
              </w:rPr>
            </w:r>
          </w:p>
        </w:tc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shd w:val="clear" w:color="ffffff" w:fill="ffffff"/>
            <w:tcW w:w="2092" w:type="dxa"/>
            <w:vMerge w:val="continue"/>
            <w:textDirection w:val="lrTb"/>
            <w:noWrap w:val="false"/>
          </w:tcPr>
          <w:p>
            <w:pPr>
              <w:jc w:val="center"/>
              <w:spacing w:before="220"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</w:tbl>
    <w:p>
      <w:pPr>
        <w:pStyle w:val="7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</w:t>
      </w:r>
      <w:r>
        <w:rPr>
          <w:sz w:val="28"/>
          <w:szCs w:val="28"/>
        </w:rPr>
      </w:r>
    </w:p>
    <w:sectPr>
      <w:footnotePr/>
      <w:endnotePr/>
      <w:type w:val="nextPage"/>
      <w:pgSz w:w="16838" w:h="11906" w:orient="landscape"/>
      <w:pgMar w:top="1701" w:right="397" w:bottom="851" w:left="397" w:header="709" w:footer="53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Segoe UI">
    <w:panose1 w:val="020B0502040504020204"/>
  </w:font>
  <w:font w:name="Cambria">
    <w:panose1 w:val="0204050305040603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1"/>
      <w:rPr>
        <w:rStyle w:val="730"/>
      </w:rPr>
      <w:framePr w:wrap="around" w:vAnchor="text" w:hAnchor="margin" w:xAlign="center" w:y="1"/>
    </w:pPr>
    <w:r>
      <w:rPr>
        <w:rStyle w:val="730"/>
      </w:rPr>
      <w:fldChar w:fldCharType="begin"/>
    </w:r>
    <w:r>
      <w:rPr>
        <w:rStyle w:val="730"/>
      </w:rPr>
      <w:instrText xml:space="preserve">PAGE  </w:instrText>
    </w:r>
    <w:r>
      <w:rPr>
        <w:rStyle w:val="730"/>
      </w:rPr>
      <w:fldChar w:fldCharType="separate"/>
    </w:r>
    <w:r>
      <w:rPr>
        <w:rStyle w:val="730"/>
      </w:rPr>
      <w:t xml:space="preserve">21</w:t>
    </w:r>
    <w:r>
      <w:rPr>
        <w:rStyle w:val="730"/>
      </w:rPr>
      <w:fldChar w:fldCharType="end"/>
    </w:r>
    <w:r>
      <w:rPr>
        <w:rStyle w:val="730"/>
      </w:rPr>
    </w:r>
  </w:p>
  <w:p>
    <w:pPr>
      <w:rPr>
        <w:b/>
      </w:rPr>
      <w:framePr w:hSpace="180" w:wrap="around" w:vAnchor="page" w:hAnchor="page" w:x="9736" w:y="271"/>
    </w:pPr>
    <w:r>
      <w:rPr>
        <w:b/>
      </w:rPr>
    </w:r>
    <w:r>
      <w:rPr>
        <w:b/>
      </w:rPr>
    </w:r>
  </w:p>
  <w:p>
    <w:pPr>
      <w:pStyle w:val="73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1"/>
      <w:rPr>
        <w:rStyle w:val="730"/>
      </w:rPr>
      <w:framePr w:wrap="around" w:vAnchor="text" w:hAnchor="margin" w:xAlign="center" w:y="1"/>
    </w:pPr>
    <w:r>
      <w:rPr>
        <w:rStyle w:val="730"/>
      </w:rPr>
      <w:fldChar w:fldCharType="begin"/>
    </w:r>
    <w:r>
      <w:rPr>
        <w:rStyle w:val="730"/>
      </w:rPr>
      <w:instrText xml:space="preserve">PAGE  </w:instrText>
    </w:r>
    <w:r>
      <w:rPr>
        <w:rStyle w:val="730"/>
      </w:rPr>
      <w:fldChar w:fldCharType="end"/>
    </w:r>
    <w:r>
      <w:rPr>
        <w:rStyle w:val="730"/>
      </w:rPr>
    </w:r>
  </w:p>
  <w:p>
    <w:pPr>
      <w:pStyle w:val="73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b/>
      </w:rPr>
      <w:framePr w:hSpace="180" w:wrap="around" w:vAnchor="page" w:hAnchor="page" w:x="14806" w:y="511"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1085850" cy="352425"/>
              <wp:effectExtent l="0" t="0" r="0" b="9525"/>
              <wp:docPr id="1" name="Рисунок 3" descr="v8_B71F_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v8_B71F_e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08585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85.50pt;height:27.75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b/>
      </w:rPr>
    </w:r>
  </w:p>
  <w:p>
    <w:pPr>
      <w:pStyle w:val="731"/>
      <w:framePr w:wrap="auto" w:vAnchor="page" w:hAnchor="page" w:x="14806" w:y="51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966" w:hanging="360"/>
        <w:tabs>
          <w:tab w:val="num" w:pos="966" w:leader="none"/>
        </w:tabs>
      </w:pPr>
      <w:rPr>
        <w:rFonts w:hint="default" w:ascii="Symbol" w:hAnsi="Symbol"/>
        <w:b w:val="0"/>
        <w:i w:val="0"/>
        <w:spacing w:val="0"/>
        <w:position w:val="0"/>
        <w:sz w:val="1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num w:numId="1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26"/>
    <w:link w:val="72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724"/>
    <w:next w:val="724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726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724"/>
    <w:next w:val="72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726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724"/>
    <w:next w:val="72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726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24"/>
    <w:next w:val="72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26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24"/>
    <w:next w:val="72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26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24"/>
    <w:next w:val="72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26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24"/>
    <w:next w:val="72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26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24"/>
    <w:next w:val="72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26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24"/>
    <w:next w:val="72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726"/>
    <w:link w:val="35"/>
    <w:uiPriority w:val="10"/>
    <w:rPr>
      <w:sz w:val="48"/>
      <w:szCs w:val="48"/>
    </w:rPr>
  </w:style>
  <w:style w:type="paragraph" w:styleId="37">
    <w:name w:val="Subtitle"/>
    <w:basedOn w:val="724"/>
    <w:next w:val="72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26"/>
    <w:link w:val="37"/>
    <w:uiPriority w:val="11"/>
    <w:rPr>
      <w:sz w:val="24"/>
      <w:szCs w:val="24"/>
    </w:rPr>
  </w:style>
  <w:style w:type="paragraph" w:styleId="39">
    <w:name w:val="Quote"/>
    <w:basedOn w:val="724"/>
    <w:next w:val="72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24"/>
    <w:next w:val="72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26"/>
    <w:link w:val="731"/>
    <w:uiPriority w:val="99"/>
  </w:style>
  <w:style w:type="character" w:styleId="46">
    <w:name w:val="Footer Char"/>
    <w:basedOn w:val="726"/>
    <w:link w:val="740"/>
    <w:uiPriority w:val="99"/>
  </w:style>
  <w:style w:type="paragraph" w:styleId="47">
    <w:name w:val="Caption"/>
    <w:basedOn w:val="724"/>
    <w:next w:val="72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26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2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7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7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7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7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7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7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7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7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7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7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7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7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72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26"/>
    <w:uiPriority w:val="99"/>
    <w:unhideWhenUsed/>
    <w:rPr>
      <w:vertAlign w:val="superscript"/>
    </w:rPr>
  </w:style>
  <w:style w:type="paragraph" w:styleId="179">
    <w:name w:val="endnote text"/>
    <w:basedOn w:val="72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26"/>
    <w:uiPriority w:val="99"/>
    <w:semiHidden/>
    <w:unhideWhenUsed/>
    <w:rPr>
      <w:vertAlign w:val="superscript"/>
    </w:rPr>
  </w:style>
  <w:style w:type="paragraph" w:styleId="182">
    <w:name w:val="toc 1"/>
    <w:basedOn w:val="724"/>
    <w:next w:val="72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24"/>
    <w:next w:val="72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24"/>
    <w:next w:val="72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24"/>
    <w:next w:val="72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24"/>
    <w:next w:val="72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24"/>
    <w:next w:val="72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24"/>
    <w:next w:val="72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24"/>
    <w:next w:val="72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24"/>
    <w:next w:val="72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24"/>
    <w:next w:val="724"/>
    <w:uiPriority w:val="99"/>
    <w:unhideWhenUsed/>
    <w:pPr>
      <w:spacing w:after="0" w:afterAutospacing="0"/>
    </w:pPr>
  </w:style>
  <w:style w:type="paragraph" w:styleId="724" w:default="1">
    <w:name w:val="Normal"/>
    <w:qFormat/>
    <w:rPr>
      <w:rFonts w:eastAsia="Times New Roman"/>
      <w:sz w:val="24"/>
      <w:szCs w:val="24"/>
    </w:rPr>
  </w:style>
  <w:style w:type="paragraph" w:styleId="725">
    <w:name w:val="Heading 1"/>
    <w:basedOn w:val="724"/>
    <w:next w:val="724"/>
    <w:link w:val="72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styleId="726" w:default="1">
    <w:name w:val="Default Paragraph Font"/>
    <w:uiPriority w:val="1"/>
    <w:semiHidden/>
    <w:unhideWhenUsed/>
  </w:style>
  <w:style w:type="table" w:styleId="72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8" w:default="1">
    <w:name w:val="No List"/>
    <w:uiPriority w:val="99"/>
    <w:semiHidden/>
    <w:unhideWhenUsed/>
  </w:style>
  <w:style w:type="character" w:styleId="729" w:customStyle="1">
    <w:name w:val="Заголовок 1 Знак"/>
    <w:link w:val="725"/>
    <w:rPr>
      <w:rFonts w:ascii="Cambria" w:hAnsi="Cambria" w:eastAsia="Times New Roman"/>
      <w:b/>
      <w:bCs/>
      <w:sz w:val="32"/>
      <w:szCs w:val="32"/>
    </w:rPr>
  </w:style>
  <w:style w:type="character" w:styleId="730">
    <w:name w:val="page number"/>
  </w:style>
  <w:style w:type="paragraph" w:styleId="731">
    <w:name w:val="Header"/>
    <w:basedOn w:val="724"/>
    <w:link w:val="732"/>
    <w:pPr>
      <w:tabs>
        <w:tab w:val="center" w:pos="4677" w:leader="none"/>
        <w:tab w:val="right" w:pos="9355" w:leader="none"/>
      </w:tabs>
    </w:pPr>
  </w:style>
  <w:style w:type="character" w:styleId="732" w:customStyle="1">
    <w:name w:val="Верхний колонтитул Знак"/>
    <w:link w:val="731"/>
    <w:rPr>
      <w:rFonts w:eastAsia="Times New Roman"/>
      <w:sz w:val="24"/>
      <w:szCs w:val="24"/>
      <w:lang w:eastAsia="ru-RU"/>
    </w:rPr>
  </w:style>
  <w:style w:type="paragraph" w:styleId="733">
    <w:name w:val="Normal (Web)"/>
    <w:basedOn w:val="724"/>
    <w:link w:val="735"/>
    <w:unhideWhenUsed/>
    <w:pPr>
      <w:spacing w:before="100" w:beforeAutospacing="1" w:after="100" w:afterAutospacing="1"/>
    </w:pPr>
  </w:style>
  <w:style w:type="paragraph" w:styleId="734" w:customStyle="1">
    <w:name w:val="ConsPlusNormal"/>
    <w:pPr>
      <w:widowControl w:val="off"/>
    </w:pPr>
    <w:rPr>
      <w:rFonts w:ascii="Calibri" w:hAnsi="Calibri" w:eastAsia="Times New Roman" w:cs="Calibri"/>
      <w:sz w:val="22"/>
    </w:rPr>
  </w:style>
  <w:style w:type="character" w:styleId="735" w:customStyle="1">
    <w:name w:val="Обычный (веб) Знак"/>
    <w:link w:val="733"/>
    <w:rPr>
      <w:rFonts w:eastAsia="Times New Roman"/>
      <w:sz w:val="24"/>
      <w:szCs w:val="24"/>
    </w:rPr>
  </w:style>
  <w:style w:type="paragraph" w:styleId="736">
    <w:name w:val="Balloon Text"/>
    <w:basedOn w:val="724"/>
    <w:link w:val="737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737" w:customStyle="1">
    <w:name w:val="Текст выноски Знак"/>
    <w:link w:val="736"/>
    <w:uiPriority w:val="99"/>
    <w:semiHidden/>
    <w:rPr>
      <w:rFonts w:ascii="Segoe UI" w:hAnsi="Segoe UI" w:eastAsia="Times New Roman" w:cs="Segoe UI"/>
      <w:sz w:val="18"/>
      <w:szCs w:val="18"/>
    </w:rPr>
  </w:style>
  <w:style w:type="table" w:styleId="738">
    <w:name w:val="Table Grid"/>
    <w:basedOn w:val="727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39">
    <w:name w:val="List Paragraph"/>
    <w:basedOn w:val="724"/>
    <w:uiPriority w:val="34"/>
    <w:qFormat/>
    <w:pPr>
      <w:contextualSpacing/>
      <w:ind w:left="720"/>
      <w:spacing w:after="160" w:line="259" w:lineRule="auto"/>
    </w:pPr>
    <w:rPr>
      <w:rFonts w:ascii="Calibri" w:hAnsi="Calibri" w:eastAsia="Calibri"/>
      <w:sz w:val="22"/>
      <w:szCs w:val="22"/>
      <w:lang w:eastAsia="en-US"/>
    </w:rPr>
  </w:style>
  <w:style w:type="paragraph" w:styleId="740">
    <w:name w:val="Footer"/>
    <w:basedOn w:val="724"/>
    <w:link w:val="74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41" w:customStyle="1">
    <w:name w:val="Нижний колонтитул Знак"/>
    <w:link w:val="740"/>
    <w:uiPriority w:val="99"/>
    <w:rPr>
      <w:rFonts w:eastAsia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CCB97-0B3F-4A57-9162-E230C9848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tarif3</cp:lastModifiedBy>
  <cp:revision>5</cp:revision>
  <dcterms:created xsi:type="dcterms:W3CDTF">2026-02-19T08:45:00Z</dcterms:created>
  <dcterms:modified xsi:type="dcterms:W3CDTF">2026-09-07T07:12:41Z</dcterms:modified>
</cp:coreProperties>
</file>